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CEC4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32"/>
          <w:szCs w:val="40"/>
        </w:rPr>
        <w:t>负压、压缩空气系统维护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保养采购需求</w:t>
      </w:r>
    </w:p>
    <w:p w14:paraId="17A9BA4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4138DB2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</w:t>
      </w:r>
      <w:r>
        <w:rPr>
          <w:rFonts w:hint="eastAsia"/>
          <w:sz w:val="28"/>
          <w:szCs w:val="36"/>
        </w:rPr>
        <w:t>负压、压缩空气系统维护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保养</w:t>
      </w:r>
      <w:r>
        <w:rPr>
          <w:rFonts w:hint="default"/>
          <w:sz w:val="28"/>
          <w:szCs w:val="36"/>
          <w:lang w:val="en-US" w:eastAsia="zh-CN"/>
        </w:rPr>
        <w:t>项目</w:t>
      </w:r>
    </w:p>
    <w:p w14:paraId="14B2E2A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6725F74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6F16370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46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0209B00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一、项目概况</w:t>
      </w:r>
    </w:p>
    <w:p w14:paraId="15F587BA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为保障</w:t>
      </w:r>
      <w:r>
        <w:rPr>
          <w:rFonts w:hint="eastAsia"/>
          <w:sz w:val="28"/>
          <w:szCs w:val="36"/>
          <w:lang w:val="en-US" w:eastAsia="zh-CN"/>
        </w:rPr>
        <w:t>我院</w:t>
      </w:r>
      <w:r>
        <w:rPr>
          <w:rFonts w:hint="default"/>
          <w:sz w:val="28"/>
          <w:szCs w:val="36"/>
          <w:lang w:val="en-US" w:eastAsia="zh-CN"/>
        </w:rPr>
        <w:t>医用负压吸引系统、医用压缩空气系统</w:t>
      </w:r>
      <w:r>
        <w:rPr>
          <w:rFonts w:hint="eastAsia"/>
          <w:sz w:val="28"/>
          <w:szCs w:val="36"/>
          <w:lang w:val="en-US" w:eastAsia="zh-CN"/>
        </w:rPr>
        <w:t>、氧气系统、呼叫系统</w:t>
      </w:r>
      <w:r>
        <w:rPr>
          <w:rFonts w:hint="default"/>
          <w:sz w:val="28"/>
          <w:szCs w:val="36"/>
          <w:lang w:val="en-US" w:eastAsia="zh-CN"/>
        </w:rPr>
        <w:t xml:space="preserve">持续、安全、稳定运行，满足临床诊疗、手术室、ICU、病房等区域医用气体使用需求。 </w:t>
      </w:r>
    </w:p>
    <w:p w14:paraId="1DC1F943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本项目维保范围覆盖医院全院负压系统、压缩空气系统主机设备、</w:t>
      </w:r>
      <w:r>
        <w:rPr>
          <w:rFonts w:hint="eastAsia"/>
          <w:sz w:val="28"/>
          <w:szCs w:val="36"/>
          <w:lang w:val="en-US" w:eastAsia="zh-CN"/>
        </w:rPr>
        <w:t>呼叫系统、医用气体输送管道（含氧气）、</w:t>
      </w:r>
      <w:r>
        <w:rPr>
          <w:rFonts w:hint="default"/>
          <w:sz w:val="28"/>
          <w:szCs w:val="36"/>
          <w:lang w:val="en-US" w:eastAsia="zh-CN"/>
        </w:rPr>
        <w:t>终端阀门及配套附属设施，严格遵循《医用气体工程技术规范》（GB50751-2012）、《医院医用气体系统运行管理规范》（WS435-2013）等国家及行业标准执行，确保系统运维符合医疗机构医用气体安全管理要求。</w:t>
      </w:r>
    </w:p>
    <w:p w14:paraId="6B043FF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二、维保服务范围</w:t>
      </w:r>
    </w:p>
    <w:p w14:paraId="46D5803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负压设备：6套负压真空泵机组、真空罐、负压控制柜、负压过滤器、压力传感器、止回阀等核心设备及附属配件。</w:t>
      </w:r>
    </w:p>
    <w:p w14:paraId="1FBE2174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default"/>
          <w:sz w:val="28"/>
          <w:szCs w:val="36"/>
          <w:lang w:val="en-US" w:eastAsia="zh-CN"/>
        </w:rPr>
        <w:t>压缩空气设备：4套空压机机组、干燥机、储气罐、压缩空气过滤器、电控系统、油滤、油分芯、安全阀、压力仪表等全套设备。</w:t>
      </w:r>
    </w:p>
    <w:p w14:paraId="7AF55839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3.呼叫系统：全院呼叫系统护士站主机、分机、走廊显示器、卫生间紧急呼叫、线路。</w:t>
      </w:r>
    </w:p>
    <w:p w14:paraId="0ED7ACE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default"/>
          <w:sz w:val="28"/>
          <w:szCs w:val="36"/>
          <w:lang w:val="en-US" w:eastAsia="zh-CN"/>
        </w:rPr>
        <w:t>. 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输送管网：全院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主管道、支管道、阀门、减压阀、压力表等管网设施，包含管道漏气检测、焊接维修、堵塞疏通。</w:t>
      </w:r>
    </w:p>
    <w:p w14:paraId="7B4281A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终端设施：全院</w:t>
      </w:r>
      <w:r>
        <w:rPr>
          <w:rFonts w:hint="eastAsia"/>
          <w:sz w:val="28"/>
          <w:szCs w:val="36"/>
          <w:lang w:val="en-US" w:eastAsia="zh-CN"/>
        </w:rPr>
        <w:t>设备带</w:t>
      </w:r>
      <w:r>
        <w:rPr>
          <w:rFonts w:hint="default"/>
          <w:sz w:val="28"/>
          <w:szCs w:val="36"/>
          <w:lang w:val="en-US" w:eastAsia="zh-CN"/>
        </w:rPr>
        <w:t>终端、各诊疗科室接口，包含终端维修、更换、调试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default"/>
          <w:sz w:val="28"/>
          <w:szCs w:val="36"/>
          <w:lang w:val="en-US" w:eastAsia="zh-CN"/>
        </w:rPr>
        <w:t>故障排查、配件更换。</w:t>
      </w:r>
    </w:p>
    <w:p w14:paraId="425BBC5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三、维护保养服务内容及要求</w:t>
      </w:r>
    </w:p>
    <w:p w14:paraId="6093A33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（一）日常基础维保</w:t>
      </w:r>
    </w:p>
    <w:p w14:paraId="3903433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定期巡检：每月对负压、压缩空气系统主机及管网开展不少于1次全面巡检。</w:t>
      </w:r>
    </w:p>
    <w:p w14:paraId="52C7215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清洁保养：定期清洁设备散热系统、过滤器滤芯、机组外观，清除设备及机房内灰尘、杂物。</w:t>
      </w:r>
    </w:p>
    <w:p w14:paraId="0D440AE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仪表校准：每季度对系统压力表、压力传感器、真空表等计量仪表进行校准。</w:t>
      </w:r>
    </w:p>
    <w:p w14:paraId="1D96203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4. 安全检测：定期检查电气线路、控制开关完好性，杜绝电气安全隐患，保障设备运行安全。</w:t>
      </w:r>
    </w:p>
    <w:p w14:paraId="3E5DFCF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（二）定期专项维保</w:t>
      </w:r>
    </w:p>
    <w:p w14:paraId="3EE5627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设备保养换油：每年对负压真空泵、空压机完成1次全面换油保养，同步更换油过滤器、空气过滤器、油气分离器等易损耗材。</w:t>
      </w:r>
    </w:p>
    <w:p w14:paraId="1E6716A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管网维护：每年完成不少于3次全院管网全面排查，对漏气管道进行焊接维修、疏通堵塞管道，更换老化阀门、密封件。</w:t>
      </w:r>
    </w:p>
    <w:p w14:paraId="085F98B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终端维保：定期检修全院气体终端，更换损坏的终端接头、密封垫、阀门等配件，确保终端出气通畅、密封无泄漏。</w:t>
      </w:r>
    </w:p>
    <w:p w14:paraId="794A8C5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4. 系统调试：维保后对整个负压、压缩空气系统进行整体调试，检测系统压力、真空度等核心指标。</w:t>
      </w:r>
    </w:p>
    <w:p w14:paraId="0DE14DF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（三）应急维修服务 </w:t>
      </w:r>
    </w:p>
    <w:p w14:paraId="3E2F063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服务商需提供7×24小时应急维修响应，接到医院故障通知后，市区内30分钟内抵达现场，快速排查并解决故障。</w:t>
      </w:r>
    </w:p>
    <w:p w14:paraId="5CB0737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应急维修包含突发漏气、设备停机、终端故障、管网堵塞等各类紧急问题，恢复系统正常运行。</w:t>
      </w:r>
    </w:p>
    <w:p w14:paraId="7EE66C3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建立应急维修档案，详细记录故障原因、维修过程、更换配件及维修结果，定期向医院</w:t>
      </w:r>
      <w:r>
        <w:rPr>
          <w:rFonts w:hint="eastAsia"/>
          <w:sz w:val="28"/>
          <w:szCs w:val="36"/>
          <w:lang w:val="en-US" w:eastAsia="zh-CN"/>
        </w:rPr>
        <w:t>总务科</w:t>
      </w:r>
      <w:r>
        <w:rPr>
          <w:rFonts w:hint="default"/>
          <w:sz w:val="28"/>
          <w:szCs w:val="36"/>
          <w:lang w:val="en-US" w:eastAsia="zh-CN"/>
        </w:rPr>
        <w:t>报备。</w:t>
      </w:r>
    </w:p>
    <w:p w14:paraId="151D497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（四）配件及耗材供应</w:t>
      </w:r>
    </w:p>
    <w:p w14:paraId="777F934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维保所需耗材（润滑油、过滤器、密封件、终端配件等）均由服务商提供，所有配件需符合医用气体系统标准，具备产品合格证明、质检报告，严禁使用劣质、非标配件。</w:t>
      </w:r>
    </w:p>
    <w:p w14:paraId="33F5986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单价500元以下常规零配件免费更换，单价超500元配件需提前向医院报备，经医院同意后更换。</w:t>
      </w:r>
    </w:p>
    <w:p w14:paraId="200B659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3. 配件更换后需做好记录，留存产品合格证，建立配件使用台账。 </w:t>
      </w:r>
    </w:p>
    <w:p w14:paraId="72C6DC7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（五）档案管理</w:t>
      </w:r>
    </w:p>
    <w:p w14:paraId="7982817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服务商需建立完善的维保档案，包含巡检记录、保养记录、维修记录、配件更换记录等。</w:t>
      </w:r>
    </w:p>
    <w:p w14:paraId="1669634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每月向医院提交月度维保报告，每季度提交系统运行分析报告，</w:t>
      </w:r>
      <w:r>
        <w:rPr>
          <w:rFonts w:hint="eastAsia"/>
          <w:sz w:val="28"/>
          <w:szCs w:val="36"/>
          <w:lang w:val="en-US" w:eastAsia="zh-CN"/>
        </w:rPr>
        <w:t>每年</w:t>
      </w:r>
      <w:r>
        <w:rPr>
          <w:rFonts w:hint="default"/>
          <w:sz w:val="28"/>
          <w:szCs w:val="36"/>
          <w:lang w:val="en-US" w:eastAsia="zh-CN"/>
        </w:rPr>
        <w:t>提交完整年度维保总结及全套档案资料。</w:t>
      </w:r>
    </w:p>
    <w:p w14:paraId="6117A8A1">
      <w:pPr>
        <w:rPr>
          <w:rFonts w:hint="eastAsia"/>
        </w:rPr>
      </w:pPr>
    </w:p>
    <w:p w14:paraId="57368D3D"/>
    <w:p w14:paraId="1BFBBA24"/>
    <w:p w14:paraId="1D97478B"/>
    <w:p w14:paraId="291C71CA">
      <w:pPr>
        <w:ind w:firstLine="42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UPS电池采购需求</w:t>
      </w:r>
    </w:p>
    <w:p w14:paraId="3A90A6D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5DDEEC9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山西省肿瘤医院更换UPS电池更换</w:t>
      </w:r>
    </w:p>
    <w:p w14:paraId="7D2E2BC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3CFD386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159DBC2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20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29758DF6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5. 调研目的：通过对标意向供应商，确认</w:t>
      </w:r>
      <w:r>
        <w:rPr>
          <w:rFonts w:hint="eastAsia"/>
          <w:sz w:val="28"/>
          <w:szCs w:val="36"/>
          <w:lang w:val="en-US" w:eastAsia="zh-CN"/>
        </w:rPr>
        <w:t>UPS</w:t>
      </w:r>
      <w:r>
        <w:rPr>
          <w:rFonts w:hint="default"/>
          <w:sz w:val="28"/>
          <w:szCs w:val="36"/>
          <w:lang w:val="en-US" w:eastAsia="zh-CN"/>
        </w:rPr>
        <w:t>系统</w:t>
      </w:r>
      <w:r>
        <w:rPr>
          <w:rFonts w:hint="eastAsia"/>
          <w:sz w:val="28"/>
          <w:szCs w:val="36"/>
          <w:lang w:val="en-US" w:eastAsia="zh-CN"/>
        </w:rPr>
        <w:t>电池</w:t>
      </w:r>
      <w:r>
        <w:rPr>
          <w:rFonts w:hint="default"/>
          <w:sz w:val="28"/>
          <w:szCs w:val="36"/>
          <w:lang w:val="en-US" w:eastAsia="zh-CN"/>
        </w:rPr>
        <w:t>的市场主流配置、性能参数及采购成本。</w:t>
      </w:r>
    </w:p>
    <w:p w14:paraId="61C1C8B0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 项目背景与需求</w:t>
      </w:r>
    </w:p>
    <w:p w14:paraId="77F54AE2"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1、目前医院3套UPS的蓄电池使用超过5年，已老化需要更换，数量见下表。</w:t>
      </w:r>
    </w:p>
    <w:p w14:paraId="5C7F5918">
      <w:pPr>
        <w:ind w:firstLine="42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2、由于电池品质影响UPS主机性能，更换新电池的供货方需承诺对所更换电池和UPS主机免费全面维护3年（含主机维护保养、电池定期放电、电池保养）。 </w:t>
      </w:r>
    </w:p>
    <w:p w14:paraId="483FB27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3、UPS 主机品牌：  艾默生</w:t>
      </w:r>
    </w:p>
    <w:p w14:paraId="1495F644">
      <w:pPr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三、蓄电池数量表</w:t>
      </w:r>
    </w:p>
    <w:tbl>
      <w:tblPr>
        <w:tblStyle w:val="3"/>
        <w:tblW w:w="8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012"/>
        <w:gridCol w:w="972"/>
        <w:gridCol w:w="1140"/>
        <w:gridCol w:w="1812"/>
      </w:tblGrid>
      <w:tr w14:paraId="5E95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1" w:type="dxa"/>
            <w:noWrap w:val="0"/>
            <w:vAlign w:val="top"/>
          </w:tcPr>
          <w:p w14:paraId="3699D40C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012" w:type="dxa"/>
            <w:noWrap w:val="0"/>
            <w:vAlign w:val="top"/>
          </w:tcPr>
          <w:p w14:paraId="4C5B52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主机功率/安装时间</w:t>
            </w:r>
          </w:p>
        </w:tc>
        <w:tc>
          <w:tcPr>
            <w:tcW w:w="972" w:type="dxa"/>
            <w:noWrap w:val="0"/>
            <w:vAlign w:val="top"/>
          </w:tcPr>
          <w:p w14:paraId="49A2A27D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140" w:type="dxa"/>
            <w:noWrap w:val="0"/>
            <w:vAlign w:val="top"/>
          </w:tcPr>
          <w:p w14:paraId="15C2AE93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812" w:type="dxa"/>
            <w:noWrap w:val="0"/>
            <w:vAlign w:val="top"/>
          </w:tcPr>
          <w:p w14:paraId="5512A2C8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048E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0361D979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694E0D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120KVA，2006年安装</w:t>
            </w:r>
          </w:p>
        </w:tc>
        <w:tc>
          <w:tcPr>
            <w:tcW w:w="972" w:type="dxa"/>
            <w:noWrap w:val="0"/>
            <w:vAlign w:val="top"/>
          </w:tcPr>
          <w:p w14:paraId="4066E364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150AH/12V</w:t>
            </w:r>
          </w:p>
        </w:tc>
        <w:tc>
          <w:tcPr>
            <w:tcW w:w="1140" w:type="dxa"/>
            <w:noWrap w:val="0"/>
            <w:vAlign w:val="top"/>
          </w:tcPr>
          <w:p w14:paraId="5121142B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56B82BAB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  <w:tr w14:paraId="5D1E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73DE96D5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716CA2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60KVA，2011年安装</w:t>
            </w:r>
          </w:p>
        </w:tc>
        <w:tc>
          <w:tcPr>
            <w:tcW w:w="972" w:type="dxa"/>
            <w:noWrap w:val="0"/>
            <w:vAlign w:val="top"/>
          </w:tcPr>
          <w:p w14:paraId="54CA70A5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120AH/12V</w:t>
            </w:r>
          </w:p>
        </w:tc>
        <w:tc>
          <w:tcPr>
            <w:tcW w:w="1140" w:type="dxa"/>
            <w:noWrap w:val="0"/>
            <w:vAlign w:val="top"/>
          </w:tcPr>
          <w:p w14:paraId="4017BA4F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3094E409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  <w:tr w14:paraId="472E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0CCDAE92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3654DA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40KVA，2006年安装</w:t>
            </w:r>
          </w:p>
        </w:tc>
        <w:tc>
          <w:tcPr>
            <w:tcW w:w="972" w:type="dxa"/>
            <w:noWrap w:val="0"/>
            <w:vAlign w:val="top"/>
          </w:tcPr>
          <w:p w14:paraId="6EEA023F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100AH/12V</w:t>
            </w:r>
          </w:p>
        </w:tc>
        <w:tc>
          <w:tcPr>
            <w:tcW w:w="1140" w:type="dxa"/>
            <w:noWrap w:val="0"/>
            <w:vAlign w:val="top"/>
          </w:tcPr>
          <w:p w14:paraId="03726CAB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2FA6B9BD">
            <w:pPr>
              <w:jc w:val="center"/>
              <w:rPr>
                <w:rFonts w:hint="default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</w:tbl>
    <w:p w14:paraId="4BC1CCBE">
      <w:pPr>
        <w:rPr>
          <w:sz w:val="28"/>
          <w:szCs w:val="28"/>
        </w:rPr>
      </w:pPr>
    </w:p>
    <w:p w14:paraId="6367A69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四、蓄电池基本要求</w:t>
      </w:r>
    </w:p>
    <w:p w14:paraId="27332936">
      <w:pPr>
        <w:pStyle w:val="5"/>
        <w:numPr>
          <w:ilvl w:val="1"/>
          <w:numId w:val="1"/>
        </w:numPr>
        <w:ind w:firstLineChars="0"/>
        <w:outlineLvl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基本要求：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120AH/12V重量为33.5公斤、150AH电池重量为41公斤</w:t>
      </w:r>
    </w:p>
    <w:p w14:paraId="653BCA11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蓄电池浮充设计寿命不少于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年（25℃）</w:t>
      </w:r>
      <w:r>
        <w:rPr>
          <w:rFonts w:hint="eastAsia" w:ascii="宋体" w:hAnsi="宋体" w:eastAsia="宋体"/>
          <w:sz w:val="28"/>
          <w:szCs w:val="28"/>
          <w:lang w:eastAsia="zh-CN"/>
        </w:rPr>
        <w:t>，质保期不少于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3年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D63129D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产品外观要求:蓄电池标志清晰，外观不得有变形、漏液、裂纹及污迹。</w:t>
      </w:r>
    </w:p>
    <w:p w14:paraId="36B2DEF9">
      <w:pPr>
        <w:pStyle w:val="5"/>
        <w:numPr>
          <w:ilvl w:val="1"/>
          <w:numId w:val="1"/>
        </w:numPr>
        <w:ind w:firstLineChars="0"/>
        <w:outlineLvl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产品安全性要求：蓄电池在正常浮充工作中应无酸雾逸出，蓄电池安全阀应具有自动开启和自动关闭的功能。</w:t>
      </w:r>
    </w:p>
    <w:p w14:paraId="2773E051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蓄电池安全阀开阀压力应满足范围:10~35kPa，闭阀压力应满足范围:10~35kPa。</w:t>
      </w:r>
    </w:p>
    <w:p w14:paraId="1A154A7D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密封反应效率要求:蓄电池密封反应效率应不低于 95%；</w:t>
      </w:r>
    </w:p>
    <w:p w14:paraId="63CE6AB4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容量保存率要求：蓄电池封置28天后，其容量保存率应不低于96%，；</w:t>
      </w:r>
    </w:p>
    <w:p w14:paraId="58073E23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蓄电池端电压均衡性：开路状态时最高与最低值应≤100mV，进入浮充状态24h后端电压差≤480mV，放电时端电压差≤300mV。</w:t>
      </w:r>
    </w:p>
    <w:p w14:paraId="64AE8F68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蓄电池连接条电压降：以5.5I</w:t>
      </w:r>
      <w:r>
        <w:rPr>
          <w:rFonts w:hint="eastAsia" w:ascii="宋体" w:hAnsi="宋体" w:eastAsia="宋体"/>
          <w:sz w:val="28"/>
          <w:szCs w:val="28"/>
          <w:vertAlign w:val="subscript"/>
        </w:rPr>
        <w:t>10</w:t>
      </w:r>
      <w:r>
        <w:rPr>
          <w:rFonts w:hint="eastAsia" w:ascii="宋体" w:hAnsi="宋体" w:eastAsia="宋体"/>
          <w:sz w:val="28"/>
          <w:szCs w:val="28"/>
        </w:rPr>
        <w:t>放电条件下，蓄电池电压差≤10mV。</w:t>
      </w:r>
    </w:p>
    <w:p w14:paraId="52808D26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容量一致性：同组蓄电池10小时率容量试验时，最大实际容量与最小实际容量差值≤5%。</w:t>
      </w:r>
    </w:p>
    <w:p w14:paraId="12C1AAC0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过度放电恢复能力：蓄电池过度放电后容量恢复值应≥90%。</w:t>
      </w:r>
    </w:p>
    <w:p w14:paraId="280A8AC7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再充电性能：蓄电池恒压充电24h的再充电能力因素 Rbf24h≥85%。</w:t>
      </w:r>
    </w:p>
    <w:p w14:paraId="7C5CFBD8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bookmarkStart w:id="0" w:name="_Hlk123634017"/>
      <w:r>
        <w:rPr>
          <w:rFonts w:hint="eastAsia" w:ascii="宋体" w:hAnsi="宋体" w:eastAsia="宋体"/>
          <w:sz w:val="28"/>
          <w:szCs w:val="28"/>
        </w:rPr>
        <w:t>复合效率：蓄电池VRLA AGM电池技术和内部气体再复合效率达99%。</w:t>
      </w:r>
      <w:bookmarkEnd w:id="0"/>
    </w:p>
    <w:p w14:paraId="46CC78E3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请意向供应商针对上述</w:t>
      </w:r>
      <w:r>
        <w:rPr>
          <w:rFonts w:hint="eastAsia"/>
          <w:sz w:val="28"/>
          <w:szCs w:val="36"/>
          <w:lang w:val="en-US" w:eastAsia="zh-CN"/>
        </w:rPr>
        <w:t>电池</w:t>
      </w:r>
      <w:r>
        <w:rPr>
          <w:rFonts w:hint="default"/>
          <w:sz w:val="28"/>
          <w:szCs w:val="36"/>
          <w:lang w:val="en-US" w:eastAsia="zh-CN"/>
        </w:rPr>
        <w:t>规格分别提供以下材料：</w:t>
      </w:r>
    </w:p>
    <w:p w14:paraId="363D68E7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公司资质（加盖公章）。</w:t>
      </w:r>
    </w:p>
    <w:p w14:paraId="6BCFF342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</w:t>
      </w:r>
      <w:r>
        <w:rPr>
          <w:rFonts w:hint="eastAsia"/>
          <w:sz w:val="28"/>
          <w:szCs w:val="36"/>
          <w:lang w:val="en-US" w:eastAsia="zh-CN"/>
        </w:rPr>
        <w:t>UPS电池</w:t>
      </w:r>
      <w:r>
        <w:rPr>
          <w:rFonts w:hint="default"/>
          <w:sz w:val="28"/>
          <w:szCs w:val="36"/>
          <w:lang w:val="en-US" w:eastAsia="zh-CN"/>
        </w:rPr>
        <w:t>详细配置方案（含品牌、型号、核心参数表）。</w:t>
      </w:r>
    </w:p>
    <w:p w14:paraId="6CDE7C22">
      <w:pPr>
        <w:pStyle w:val="5"/>
        <w:numPr>
          <w:ilvl w:val="0"/>
          <w:numId w:val="0"/>
        </w:numPr>
        <w:ind w:firstLine="560" w:firstLineChars="200"/>
        <w:jc w:val="both"/>
        <w:outlineLvl w:val="2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3.针对本项目的报价单（含设备、安装、辅材、税费全包价格）。</w:t>
      </w:r>
    </w:p>
    <w:p w14:paraId="5FB1C877"/>
    <w:p w14:paraId="54B17828"/>
    <w:p w14:paraId="6474394B"/>
    <w:p w14:paraId="73629BED"/>
    <w:p w14:paraId="4DCC9A78"/>
    <w:p w14:paraId="7D53AFAE"/>
    <w:p w14:paraId="144727AB"/>
    <w:p w14:paraId="4EC744B0"/>
    <w:p w14:paraId="7E01CED6"/>
    <w:p w14:paraId="775CF8A2"/>
    <w:p w14:paraId="63E3CF70"/>
    <w:p w14:paraId="32F54672"/>
    <w:p w14:paraId="00723433"/>
    <w:p w14:paraId="7CBCC82A"/>
    <w:p w14:paraId="24ED21BD"/>
    <w:p w14:paraId="1FE279A2"/>
    <w:p w14:paraId="5E6666DF"/>
    <w:p w14:paraId="2CD05B94"/>
    <w:p w14:paraId="4387AA77"/>
    <w:p w14:paraId="3BA25240"/>
    <w:p w14:paraId="1A74AEAC"/>
    <w:p w14:paraId="48AC00F2"/>
    <w:p w14:paraId="2EC5722D"/>
    <w:p w14:paraId="38B5EE9E"/>
    <w:p w14:paraId="7C1743F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负压泵站系统更新改造项目</w:t>
      </w:r>
      <w:r>
        <w:rPr>
          <w:rFonts w:hint="eastAsia"/>
          <w:sz w:val="36"/>
          <w:szCs w:val="36"/>
          <w:lang w:val="en-US" w:eastAsia="zh-CN"/>
        </w:rPr>
        <w:t>采购需求</w:t>
      </w:r>
    </w:p>
    <w:p w14:paraId="7AA4FFF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42BBDD1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</w:t>
      </w:r>
      <w:r>
        <w:rPr>
          <w:rFonts w:hint="default"/>
          <w:sz w:val="28"/>
          <w:szCs w:val="36"/>
          <w:lang w:val="en-US" w:eastAsia="zh-CN"/>
        </w:rPr>
        <w:t>负压泵站系统更新改造项目</w:t>
      </w:r>
    </w:p>
    <w:p w14:paraId="7C2C416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7732AC3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4E410CA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38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4F3B878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5. 调研目的：通过对标意向供应商，确认爪式真空泵系统的市场主流配置、性能参数及采购成本。</w:t>
      </w:r>
    </w:p>
    <w:p w14:paraId="211B6CC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 项目背景与需求</w:t>
      </w:r>
    </w:p>
    <w:p w14:paraId="4D51A28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因院区原有负压设备老化，能耗高。为提升手术室、ICU、传染病区等关键区域的负压供应稳定性与安全性，计划采用爪式真空泵进行整体升级。</w:t>
      </w:r>
      <w:r>
        <w:rPr>
          <w:rFonts w:hint="eastAsia"/>
          <w:sz w:val="28"/>
          <w:szCs w:val="36"/>
          <w:lang w:val="en-US" w:eastAsia="zh-CN"/>
        </w:rPr>
        <w:t>我院每小时产气量1200m³，</w:t>
      </w:r>
      <w:r>
        <w:rPr>
          <w:rFonts w:hint="default"/>
          <w:sz w:val="28"/>
          <w:szCs w:val="36"/>
          <w:lang w:val="en-US" w:eastAsia="zh-CN"/>
        </w:rPr>
        <w:t>本次调研重点在于评估不同品牌在30m³/h和40m³/h风量下的技术方案及报价。</w:t>
      </w:r>
    </w:p>
    <w:p w14:paraId="66F9F22F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三、 核心技术规格与参数要求 </w:t>
      </w:r>
    </w:p>
    <w:p w14:paraId="0F29733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 设备类型：爪式真空泵机组（无油，干式）</w:t>
      </w:r>
    </w:p>
    <w:p w14:paraId="70FAEAF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技术原理：采用双爪式结构，同步转子设计，必须为无油润滑类型。</w:t>
      </w:r>
    </w:p>
    <w:p w14:paraId="45D0E64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产气量（抽速）：需同时提供对标方案：30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m³/h  及 40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m³/h 两种风量规格。</w:t>
      </w:r>
    </w:p>
    <w:p w14:paraId="48AE55A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真空度：极限真空度：≤ -0.098 MPa (绝对压力 ≤ 2000 Pa)。</w:t>
      </w:r>
    </w:p>
    <w:p w14:paraId="7855D8F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工作真空度：需稳定在 -0.08 MPa 至 -0.09 MPa 之间，满足全院连续运行需求。</w:t>
      </w:r>
    </w:p>
    <w:p w14:paraId="2840262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材质要求：泵体与气体接触部件材质：铝合金/不锈钢（耐腐蚀，防止锈蚀）。</w:t>
      </w:r>
    </w:p>
    <w:p w14:paraId="21F825C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密封材质：耐老化氟橡胶或同等材质。</w:t>
      </w:r>
    </w:p>
    <w:p w14:paraId="4C507EF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 系统配置与控制</w:t>
      </w:r>
    </w:p>
    <w:p w14:paraId="328DC02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控制系统：配备PLC+触摸屏控制。 </w:t>
      </w:r>
    </w:p>
    <w:p w14:paraId="7A1D0E3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具备自动报警功能（含过载、超温、过压、断流保护）。</w:t>
      </w:r>
    </w:p>
    <w:p w14:paraId="79652AA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噪音控制：机组整体噪音 ≤ 65 dB(A)，需配备高效消音装置及隔音箱体。 </w:t>
      </w:r>
    </w:p>
    <w:p w14:paraId="6E791DD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 附属系统</w:t>
      </w:r>
    </w:p>
    <w:p w14:paraId="49B10B9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气水分离器：高效分离，确保出气含湿量符合标准。</w:t>
      </w:r>
    </w:p>
    <w:p w14:paraId="67C2D81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缓冲罐与止回阀：防止气体倒灌，保障系统稳定。 </w:t>
      </w:r>
    </w:p>
    <w:p w14:paraId="11A2C4F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四、 资质与服务要求</w:t>
      </w:r>
    </w:p>
    <w:p w14:paraId="4A5C93B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调研材料提交清单</w:t>
      </w:r>
    </w:p>
    <w:p w14:paraId="3ECE9E0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请意向供应商针对上述 30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m³/h 和 40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m³/h 两个规格分别提供以下材料：</w:t>
      </w:r>
    </w:p>
    <w:p w14:paraId="0E598C0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公司资质（加盖公章）。</w:t>
      </w:r>
    </w:p>
    <w:p w14:paraId="6C52022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爪式真空泵详细配置方案（含品牌、型号、核心参数表）。</w:t>
      </w:r>
    </w:p>
    <w:p w14:paraId="211BFEF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针对本项目的报价单（含设备、安装、辅材、税费全包价格）。</w:t>
      </w:r>
    </w:p>
    <w:p w14:paraId="6A9856E6"/>
    <w:p w14:paraId="16B01A0E"/>
    <w:p w14:paraId="53821366"/>
    <w:p w14:paraId="18CB8506"/>
    <w:p w14:paraId="343303EE"/>
    <w:p w14:paraId="69094C73"/>
    <w:p w14:paraId="0A4E24FF"/>
    <w:p w14:paraId="0E7C7776"/>
    <w:p w14:paraId="4A1CDBDD"/>
    <w:p w14:paraId="3FA1FF92"/>
    <w:p w14:paraId="5A5D0830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山西省肿瘤医院院内雨污分流改造项目工程测绘</w:t>
      </w:r>
    </w:p>
    <w:p w14:paraId="0E42D84E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采购需求</w:t>
      </w:r>
    </w:p>
    <w:p w14:paraId="382713A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一、项目基本信息</w:t>
      </w:r>
    </w:p>
    <w:p w14:paraId="639E5F0A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1.项目名称： 山西省太原市杏花岭区山西省肿瘤医院雨污分流改造测绘项目 </w:t>
      </w:r>
    </w:p>
    <w:p w14:paraId="51F7A85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2.项目地点： 山西省太原市杏花岭区山西省肿瘤医院院内 </w:t>
      </w:r>
    </w:p>
    <w:p w14:paraId="1B9CBB48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 预算范围：人民币 24万元</w:t>
      </w:r>
    </w:p>
    <w:p w14:paraId="7247783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4.采购范围：本次院内雨污分流改造项目的现状测绘，具体包含：1. 现状管网测量：对院内现有排水管网、雨污混接错接点、检查井、化粪池、外接市政接驳口进行全面探测排查，及配合我院完成后续雨污分流改造管网设计。</w:t>
      </w:r>
    </w:p>
    <w:p w14:paraId="4D8BFF6D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二、具体服务内容及要求</w:t>
      </w:r>
    </w:p>
    <w:p w14:paraId="706768D7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 需要完成以下测绘工作：</w:t>
      </w:r>
    </w:p>
    <w:p w14:paraId="356CEE73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探测院内现有雨水、污水管网的走向、管径、埋深、材质，标注检查井位置、井深、接口形式。</w:t>
      </w:r>
    </w:p>
    <w:p w14:paraId="54218C30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排查所有雨污混接、错接点位，绘制现状排水管网平面图、纵断面图</w:t>
      </w:r>
      <w:bookmarkStart w:id="1" w:name="_GoBack"/>
      <w:bookmarkEnd w:id="1"/>
    </w:p>
    <w:p w14:paraId="5CB62F02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现场核对现有外接市政雨水、污水接驳口位置、管径、标高，确认接驳条件。</w:t>
      </w:r>
    </w:p>
    <w:p w14:paraId="23A0D7D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摸清现有化粪池、隔油池（针对医院食堂）的位置、容积、使用现状</w:t>
      </w:r>
    </w:p>
    <w:p w14:paraId="59B527A9">
      <w:pPr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2. 成果要求：提供完整的测绘报告（含纸质版4份+电子版CAD文件）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D26D0"/>
    <w:multiLevelType w:val="multilevel"/>
    <w:tmpl w:val="344D26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68DB"/>
    <w:rsid w:val="094E71DE"/>
    <w:rsid w:val="0C6B5CD4"/>
    <w:rsid w:val="0E863A59"/>
    <w:rsid w:val="1B0D6EF9"/>
    <w:rsid w:val="1C8C2C96"/>
    <w:rsid w:val="1F631CAF"/>
    <w:rsid w:val="27651E6B"/>
    <w:rsid w:val="2D346567"/>
    <w:rsid w:val="35E6061B"/>
    <w:rsid w:val="3C065573"/>
    <w:rsid w:val="45682DFA"/>
    <w:rsid w:val="507B7E86"/>
    <w:rsid w:val="508F0DB7"/>
    <w:rsid w:val="54EA55DA"/>
    <w:rsid w:val="5A2315EE"/>
    <w:rsid w:val="5EA54820"/>
    <w:rsid w:val="6AEA7C8A"/>
    <w:rsid w:val="6CE7497A"/>
    <w:rsid w:val="6E5C0C74"/>
    <w:rsid w:val="74D87ABD"/>
    <w:rsid w:val="787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黑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3274</Words>
  <Characters>3578</Characters>
  <Lines>0</Lines>
  <Paragraphs>0</Paragraphs>
  <TotalTime>28</TotalTime>
  <ScaleCrop>false</ScaleCrop>
  <LinksUpToDate>false</LinksUpToDate>
  <CharactersWithSpaces>3687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2026-05-06T03:24:00Z</dcterms:created>
  <dc:creator>Administrator</dc:creator>
  <cp:lastModifiedBy>吴茂</cp:lastModifiedBy>
  <dcterms:modified xsi:type="dcterms:W3CDTF">2026-06-25T08:49:19Z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eyJoZGlkIjoiMGJjM2M4NWMwYWNlODZiYWQxNTYwMmE3OWNiOTkyNTgiLCJ1c2VySWQiOiIxNzIwNzkxNDA5In0=</vt:lpwstr>
  </property>
  <property fmtid="{D5CDD505-2E9C-101B-9397-08002B2CF9AE}" pid="4" name="ICV">
    <vt:lpwstr>1B0629731C2840D9A118AB881137FAFA_12</vt:lpwstr>
  </property>
</Properties>
</file>