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18A7E">
      <w:pPr>
        <w:jc w:val="left"/>
        <w:rPr>
          <w:rFonts w:ascii="宋体" w:hAnsi="宋体" w:eastAsia="宋体" w:cs="宋体"/>
          <w:b/>
          <w:bCs/>
          <w:sz w:val="24"/>
        </w:rPr>
      </w:pPr>
      <w:r>
        <w:rPr>
          <w:rFonts w:hint="eastAsia" w:ascii="仿宋" w:hAnsi="仿宋" w:eastAsia="仿宋" w:cs="仿宋"/>
          <w:sz w:val="32"/>
          <w:szCs w:val="32"/>
        </w:rPr>
        <w:t>附件2-19</w:t>
      </w:r>
    </w:p>
    <w:p w14:paraId="489D69CE">
      <w:pPr>
        <w:jc w:val="center"/>
        <w:rPr>
          <w:rFonts w:ascii="宋体" w:hAnsi="宋体" w:eastAsia="宋体" w:cs="宋体"/>
          <w:b/>
          <w:bCs/>
          <w:sz w:val="24"/>
        </w:rPr>
      </w:pPr>
      <w:r>
        <w:rPr>
          <w:rFonts w:hint="eastAsia" w:ascii="宋体" w:hAnsi="宋体" w:eastAsia="宋体" w:cs="宋体"/>
          <w:b/>
          <w:bCs/>
          <w:sz w:val="24"/>
        </w:rPr>
        <w:t>山西省肿瘤医院</w:t>
      </w:r>
      <w:r>
        <w:rPr>
          <w:rFonts w:hint="eastAsia" w:ascii="微软雅黑" w:hAnsi="微软雅黑" w:eastAsia="微软雅黑" w:cs="微软雅黑"/>
          <w:b/>
          <w:bCs/>
          <w:sz w:val="24"/>
        </w:rPr>
        <w:t>·</w:t>
      </w:r>
      <w:r>
        <w:rPr>
          <w:rFonts w:hint="eastAsia" w:ascii="宋体" w:hAnsi="宋体" w:eastAsia="宋体" w:cs="宋体"/>
          <w:b/>
          <w:bCs/>
          <w:sz w:val="24"/>
        </w:rPr>
        <w:t>中国医学科学院肿瘤医院山西医院</w:t>
      </w:r>
    </w:p>
    <w:p w14:paraId="7954BE27">
      <w:pPr>
        <w:jc w:val="center"/>
        <w:rPr>
          <w:rFonts w:ascii="宋体" w:hAnsi="宋体" w:eastAsia="宋体" w:cs="宋体"/>
          <w:b/>
          <w:bCs/>
          <w:sz w:val="32"/>
          <w:szCs w:val="32"/>
        </w:rPr>
      </w:pPr>
      <w:r>
        <w:rPr>
          <w:rFonts w:hint="eastAsia" w:ascii="宋体" w:hAnsi="宋体" w:eastAsia="宋体" w:cs="宋体"/>
          <w:b/>
          <w:bCs/>
          <w:sz w:val="32"/>
          <w:szCs w:val="32"/>
        </w:rPr>
        <w:t>新院区建设项目采购需求</w:t>
      </w:r>
    </w:p>
    <w:p w14:paraId="29A26D7F">
      <w:pPr>
        <w:rPr>
          <w:rFonts w:ascii="宋体" w:hAnsi="宋体" w:eastAsia="宋体" w:cs="宋体"/>
          <w:sz w:val="32"/>
          <w:szCs w:val="32"/>
        </w:rPr>
      </w:pPr>
      <w:r>
        <w:rPr>
          <w:rFonts w:hint="eastAsia" w:ascii="宋体" w:hAnsi="宋体" w:eastAsia="宋体" w:cs="宋体"/>
          <w:sz w:val="32"/>
          <w:szCs w:val="32"/>
        </w:rPr>
        <w:t>一、采购范围：中国医学科学院肿瘤医院山西医院新院区建设项目</w:t>
      </w:r>
      <w:r>
        <w:rPr>
          <w:rFonts w:hint="eastAsia" w:ascii="宋体" w:hAnsi="宋体" w:eastAsia="宋体" w:cs="宋体"/>
          <w:b/>
          <w:bCs/>
          <w:sz w:val="32"/>
          <w:szCs w:val="32"/>
        </w:rPr>
        <w:t>工程勘察报告</w:t>
      </w:r>
      <w:r>
        <w:rPr>
          <w:rFonts w:hint="eastAsia" w:ascii="宋体" w:hAnsi="宋体" w:eastAsia="宋体" w:cs="宋体"/>
          <w:sz w:val="32"/>
          <w:szCs w:val="32"/>
        </w:rPr>
        <w:t>的编制</w:t>
      </w:r>
    </w:p>
    <w:p w14:paraId="2BE3FF58">
      <w:pPr>
        <w:spacing w:line="360" w:lineRule="auto"/>
        <w:rPr>
          <w:rFonts w:ascii="宋体" w:hAnsi="宋体" w:eastAsia="宋体" w:cs="宋体"/>
          <w:sz w:val="32"/>
          <w:szCs w:val="32"/>
          <w:highlight w:val="none"/>
        </w:rPr>
      </w:pPr>
      <w:r>
        <w:rPr>
          <w:rFonts w:hint="eastAsia" w:ascii="宋体" w:hAnsi="宋体" w:eastAsia="宋体" w:cs="宋体"/>
          <w:sz w:val="32"/>
          <w:szCs w:val="32"/>
        </w:rPr>
        <w:t>二、特定资格要求：有效支持新院区建设项目立项文件的实</w:t>
      </w:r>
      <w:r>
        <w:rPr>
          <w:rFonts w:hint="eastAsia" w:ascii="宋体" w:hAnsi="宋体" w:eastAsia="宋体" w:cs="宋体"/>
          <w:sz w:val="32"/>
          <w:szCs w:val="32"/>
          <w:highlight w:val="none"/>
        </w:rPr>
        <w:t>施要求，编制单位保证编制文件的通过性。</w:t>
      </w:r>
    </w:p>
    <w:p w14:paraId="0717967E">
      <w:pPr>
        <w:spacing w:line="360" w:lineRule="auto"/>
        <w:rPr>
          <w:rFonts w:ascii="宋体" w:hAnsi="宋体" w:eastAsia="宋体" w:cs="宋体"/>
          <w:sz w:val="30"/>
          <w:szCs w:val="30"/>
          <w:highlight w:val="none"/>
        </w:rPr>
      </w:pPr>
      <w:r>
        <w:rPr>
          <w:rFonts w:hint="eastAsia" w:ascii="宋体" w:hAnsi="宋体" w:eastAsia="宋体" w:cs="宋体"/>
          <w:sz w:val="32"/>
          <w:szCs w:val="32"/>
          <w:highlight w:val="none"/>
        </w:rPr>
        <w:t xml:space="preserve">1. </w:t>
      </w:r>
      <w:r>
        <w:rPr>
          <w:rFonts w:hint="eastAsia" w:ascii="宋体" w:hAnsi="宋体" w:eastAsia="宋体" w:cs="宋体"/>
          <w:sz w:val="30"/>
          <w:szCs w:val="30"/>
          <w:highlight w:val="none"/>
        </w:rPr>
        <w:t>投标人须具有行政主管部门颁发的工程勘察综合甲级资质或工程勘察专业类(岩土工程)甲级资质，有效的营业执照，并在人员、设备、资金等方面具有相应的设计能力；</w:t>
      </w:r>
    </w:p>
    <w:p w14:paraId="767C5670">
      <w:pPr>
        <w:spacing w:line="360" w:lineRule="auto"/>
        <w:rPr>
          <w:rFonts w:ascii="宋体" w:hAnsi="宋体" w:eastAsia="宋体" w:cs="宋体"/>
          <w:sz w:val="30"/>
          <w:szCs w:val="30"/>
          <w:highlight w:val="none"/>
        </w:rPr>
      </w:pPr>
      <w:r>
        <w:rPr>
          <w:rFonts w:hint="eastAsia" w:ascii="宋体" w:hAnsi="宋体" w:eastAsia="宋体" w:cs="宋体"/>
          <w:sz w:val="30"/>
          <w:szCs w:val="30"/>
          <w:highlight w:val="none"/>
        </w:rPr>
        <w:t>2.投标人拟任项目负责人须具备注册土木工程师(岩土)。</w:t>
      </w:r>
    </w:p>
    <w:p w14:paraId="12DFAD5F">
      <w:pPr>
        <w:spacing w:line="360" w:lineRule="auto"/>
        <w:rPr>
          <w:rFonts w:ascii="宋体" w:hAnsi="宋体" w:eastAsia="宋体" w:cs="宋体"/>
          <w:sz w:val="32"/>
          <w:szCs w:val="32"/>
        </w:rPr>
      </w:pPr>
      <w:r>
        <w:rPr>
          <w:rFonts w:hint="eastAsia" w:ascii="宋体" w:hAnsi="宋体" w:eastAsia="宋体" w:cs="宋体"/>
          <w:sz w:val="32"/>
          <w:szCs w:val="32"/>
        </w:rPr>
        <w:t>3. 单位负责人为同一人或存在控股、管理关系的不同单位不得同时对本项目投标，否则相关投标均无效。</w:t>
      </w:r>
    </w:p>
    <w:p w14:paraId="1E4B137C">
      <w:pPr>
        <w:spacing w:line="360" w:lineRule="auto"/>
        <w:rPr>
          <w:rFonts w:ascii="宋体" w:hAnsi="宋体" w:eastAsia="宋体" w:cs="宋体"/>
          <w:snapToGrid w:val="0"/>
          <w:sz w:val="32"/>
          <w:szCs w:val="32"/>
        </w:rPr>
      </w:pPr>
      <w:r>
        <w:rPr>
          <w:rFonts w:hint="eastAsia" w:ascii="宋体" w:hAnsi="宋体" w:eastAsia="宋体" w:cs="宋体"/>
          <w:sz w:val="32"/>
          <w:szCs w:val="32"/>
        </w:rPr>
        <w:t>4. 投标人</w:t>
      </w:r>
      <w:r>
        <w:rPr>
          <w:rFonts w:hint="eastAsia" w:ascii="宋体" w:hAnsi="宋体" w:eastAsia="宋体" w:cs="宋体"/>
          <w:snapToGrid w:val="0"/>
          <w:sz w:val="32"/>
          <w:szCs w:val="32"/>
        </w:rPr>
        <w:t>在经营活动中没有重大违法记录且未被人民法院列入失信被执行人名单，以“信用中国”网站（www.creditchina.gov.cn）或中华人民共和国最高人民法院查询结果为准；国家企业信用信息公示系统中是否严重违法失信企业名单的截图。</w:t>
      </w:r>
    </w:p>
    <w:p w14:paraId="21902A2B">
      <w:pPr>
        <w:spacing w:line="360" w:lineRule="auto"/>
        <w:rPr>
          <w:rFonts w:ascii="宋体" w:hAnsi="宋体" w:eastAsia="宋体" w:cs="宋体"/>
          <w:sz w:val="32"/>
          <w:szCs w:val="32"/>
        </w:rPr>
      </w:pPr>
      <w:r>
        <w:rPr>
          <w:rFonts w:hint="eastAsia" w:ascii="宋体" w:hAnsi="宋体" w:eastAsia="宋体" w:cs="宋体"/>
          <w:snapToGrid w:val="0"/>
          <w:sz w:val="32"/>
          <w:szCs w:val="32"/>
        </w:rPr>
        <w:t xml:space="preserve">5. </w:t>
      </w:r>
      <w:r>
        <w:rPr>
          <w:rFonts w:hint="eastAsia" w:ascii="宋体" w:hAnsi="宋体" w:eastAsia="宋体" w:cs="宋体"/>
          <w:sz w:val="32"/>
          <w:szCs w:val="32"/>
        </w:rPr>
        <w:t>本项目不接受联合体投标。</w:t>
      </w:r>
    </w:p>
    <w:p w14:paraId="62EC9D1C">
      <w:pPr>
        <w:rPr>
          <w:rFonts w:ascii="宋体" w:hAnsi="宋体" w:eastAsia="宋体" w:cs="宋体"/>
          <w:sz w:val="32"/>
          <w:szCs w:val="32"/>
        </w:rPr>
      </w:pPr>
      <w:r>
        <w:rPr>
          <w:rFonts w:hint="eastAsia" w:ascii="宋体" w:hAnsi="宋体" w:eastAsia="宋体" w:cs="宋体"/>
          <w:sz w:val="32"/>
          <w:szCs w:val="32"/>
        </w:rPr>
        <w:t>三、服务期限（服务）/质保期（货物）：根据招标文件相关要求执行。</w:t>
      </w:r>
    </w:p>
    <w:p w14:paraId="7CE72CA0">
      <w:pPr>
        <w:rPr>
          <w:rFonts w:ascii="宋体" w:hAnsi="宋体" w:eastAsia="宋体" w:cs="宋体"/>
          <w:sz w:val="32"/>
          <w:szCs w:val="32"/>
        </w:rPr>
      </w:pPr>
      <w:r>
        <w:rPr>
          <w:rFonts w:hint="eastAsia" w:ascii="宋体" w:hAnsi="宋体" w:eastAsia="宋体" w:cs="宋体"/>
          <w:sz w:val="32"/>
          <w:szCs w:val="32"/>
        </w:rPr>
        <w:t>四、服务地点：拟选址太原市杏花岭区北沙河以东、凯旋街以南、新街南二巷以北，新村路以西。</w:t>
      </w:r>
    </w:p>
    <w:p w14:paraId="19CA5C77">
      <w:pPr>
        <w:rPr>
          <w:rFonts w:ascii="宋体" w:hAnsi="宋体" w:eastAsia="宋体" w:cs="宋体"/>
          <w:sz w:val="32"/>
          <w:szCs w:val="32"/>
        </w:rPr>
      </w:pPr>
      <w:r>
        <w:rPr>
          <w:rFonts w:hint="eastAsia" w:ascii="宋体" w:hAnsi="宋体" w:eastAsia="宋体" w:cs="宋体"/>
          <w:sz w:val="32"/>
          <w:szCs w:val="32"/>
        </w:rPr>
        <w:t>五、付款方式：依据中标合同约定进行预付、工程进度完成支付。</w:t>
      </w:r>
    </w:p>
    <w:p w14:paraId="3A3B2B0E">
      <w:pPr>
        <w:rPr>
          <w:rFonts w:ascii="宋体" w:hAnsi="宋体" w:eastAsia="宋体" w:cs="宋体"/>
          <w:sz w:val="32"/>
          <w:szCs w:val="32"/>
        </w:rPr>
      </w:pPr>
      <w:r>
        <w:rPr>
          <w:rFonts w:hint="eastAsia" w:ascii="宋体" w:hAnsi="宋体" w:eastAsia="宋体" w:cs="宋体"/>
          <w:sz w:val="32"/>
          <w:szCs w:val="32"/>
        </w:rPr>
        <w:t>六、</w:t>
      </w:r>
      <w:r>
        <w:rPr>
          <w:rFonts w:hint="eastAsia" w:ascii="宋体" w:hAnsi="宋体" w:eastAsia="宋体" w:cs="宋体"/>
          <w:sz w:val="32"/>
          <w:szCs w:val="32"/>
          <w:highlight w:val="none"/>
        </w:rPr>
        <w:t>服务内容及技术参数：</w:t>
      </w:r>
    </w:p>
    <w:p w14:paraId="79B50040">
      <w:pPr>
        <w:rPr>
          <w:rFonts w:hint="default" w:ascii="宋体" w:hAnsi="宋体" w:eastAsia="宋体" w:cs="宋体"/>
          <w:sz w:val="32"/>
          <w:szCs w:val="32"/>
          <w:lang w:val="en-US" w:eastAsia="zh-CN"/>
        </w:rPr>
      </w:pPr>
      <w:r>
        <w:rPr>
          <w:rFonts w:hint="eastAsia" w:ascii="宋体" w:hAnsi="宋体" w:eastAsia="宋体" w:cs="宋体"/>
          <w:sz w:val="32"/>
          <w:szCs w:val="32"/>
        </w:rPr>
        <w:t>1.</w:t>
      </w:r>
      <w:r>
        <w:rPr>
          <w:rFonts w:hint="eastAsia" w:ascii="宋体" w:hAnsi="宋体" w:eastAsia="宋体" w:cs="宋体"/>
          <w:sz w:val="32"/>
          <w:szCs w:val="32"/>
          <w:lang w:val="en-US" w:eastAsia="zh-CN"/>
        </w:rPr>
        <w:t>项目概况</w:t>
      </w:r>
    </w:p>
    <w:p w14:paraId="76D9B3AF">
      <w:pPr>
        <w:ind w:firstLine="640" w:firstLineChars="200"/>
        <w:rPr>
          <w:rFonts w:ascii="宋体" w:hAnsi="宋体" w:eastAsia="宋体" w:cs="宋体"/>
          <w:sz w:val="32"/>
          <w:szCs w:val="32"/>
        </w:rPr>
      </w:pPr>
      <w:r>
        <w:rPr>
          <w:rFonts w:hint="eastAsia" w:ascii="宋体" w:hAnsi="宋体" w:eastAsia="宋体" w:cs="宋体"/>
          <w:sz w:val="32"/>
          <w:szCs w:val="32"/>
        </w:rPr>
        <w:t>新院区计划选址太原市杏花岭区相关地块，总用地约41亩，预计总建筑面积约15.3万平方米，设病床900张，总投资额约16.0</w:t>
      </w:r>
      <w:bookmarkStart w:id="0" w:name="_GoBack"/>
      <w:bookmarkEnd w:id="0"/>
      <w:r>
        <w:rPr>
          <w:rFonts w:hint="eastAsia" w:ascii="宋体" w:hAnsi="宋体" w:eastAsia="宋体" w:cs="宋体"/>
          <w:sz w:val="32"/>
          <w:szCs w:val="32"/>
        </w:rPr>
        <w:t>8亿元（以批复为准）。项目采取新旧院区结合方案，用连廊和地下通道连接地块，利用北沙河绿带局部地下空间建质子放疗中心，分三期建设。</w:t>
      </w:r>
    </w:p>
    <w:p w14:paraId="46BDE5A1">
      <w:pPr>
        <w:rPr>
          <w:rFonts w:ascii="宋体" w:hAnsi="宋体" w:eastAsia="宋体" w:cs="宋体"/>
          <w:sz w:val="32"/>
          <w:szCs w:val="32"/>
          <w:highlight w:val="none"/>
        </w:rPr>
      </w:pP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勘察目的与要求：</w:t>
      </w:r>
    </w:p>
    <w:p w14:paraId="7E1F3B35">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（1）查明拟建场地范围内的地形、地貌、不良地质作用等，并对其成因、类型、分布范围、危害程度及其发展趋势作出评价。并对场地稳定性、建筑适宜性进行评价。</w:t>
      </w:r>
    </w:p>
    <w:p w14:paraId="0F2F6BC6">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（2）查明拟建场地勘察深度范围内岩土层的成因、地层结构和均匀性及特殊性岩土的性质，各岩土层的物理力学性质及工程特性。</w:t>
      </w:r>
    </w:p>
    <w:p w14:paraId="294646A6">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（3）查明拟建场地勘探深度范围内地下水的埋藏条件、类型、季节性变幅及规律。</w:t>
      </w:r>
    </w:p>
    <w:p w14:paraId="08111F3B">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（4）评价地下水和地基土对建筑材料的腐蚀性。</w:t>
      </w:r>
    </w:p>
    <w:p w14:paraId="13E7D482">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（5）对场地及地基湿陷性进行评价。</w:t>
      </w:r>
    </w:p>
    <w:p w14:paraId="3FD029F0">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（6）对场地与地基的地震效应进行评价，进行地基土类型及建筑场地类别的划分。</w:t>
      </w:r>
    </w:p>
    <w:p w14:paraId="2FE5A432">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（7）对地基土的工程特性和地基的稳定性进行分析评价，提出各土层的地基承载力特征值；论证天然地基的可行性。</w:t>
      </w:r>
    </w:p>
    <w:p w14:paraId="17D8DAFF">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（8）结合场地岩土工程条件提出经济合理、技术可行的地基处理方案。</w:t>
      </w:r>
    </w:p>
    <w:p w14:paraId="75563164">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（9）提供桩基设计所需参数。</w:t>
      </w:r>
    </w:p>
    <w:p w14:paraId="06B1B17B">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（10）对基坑工程的设计、施工方案提出建议。</w:t>
      </w:r>
    </w:p>
    <w:p w14:paraId="69F28197">
      <w:pPr>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（11）提供场地土的冻结标准深度。</w:t>
      </w:r>
    </w:p>
    <w:p w14:paraId="277D5690">
      <w:pPr>
        <w:rPr>
          <w:rFonts w:ascii="宋体" w:hAnsi="宋体" w:eastAsia="宋体" w:cs="宋体"/>
          <w:sz w:val="32"/>
          <w:szCs w:val="32"/>
          <w:highlight w:val="none"/>
        </w:rPr>
      </w:pPr>
      <w:r>
        <w:rPr>
          <w:rFonts w:hint="eastAsia" w:ascii="宋体" w:hAnsi="宋体" w:eastAsia="宋体" w:cs="宋体"/>
          <w:sz w:val="32"/>
          <w:szCs w:val="32"/>
          <w:highlight w:val="none"/>
          <w:lang w:val="en-US" w:eastAsia="zh-CN"/>
        </w:rPr>
        <w:t>3.</w:t>
      </w:r>
      <w:r>
        <w:rPr>
          <w:rFonts w:hint="eastAsia" w:ascii="宋体" w:hAnsi="宋体" w:eastAsia="宋体" w:cs="宋体"/>
          <w:sz w:val="32"/>
          <w:szCs w:val="32"/>
          <w:highlight w:val="none"/>
        </w:rPr>
        <w:t>质量标准</w:t>
      </w:r>
    </w:p>
    <w:p w14:paraId="0E6E9E4B">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满足勘察委托任务书要求，勘察成果符合国家相关规范、标准。</w:t>
      </w:r>
    </w:p>
    <w:p w14:paraId="44BB5DC4">
      <w:pPr>
        <w:rPr>
          <w:rFonts w:ascii="宋体" w:hAnsi="宋体" w:eastAsia="宋体" w:cs="宋体"/>
          <w:sz w:val="32"/>
          <w:szCs w:val="32"/>
          <w:highlight w:val="none"/>
        </w:rPr>
      </w:pP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执行的现行规范、规程</w:t>
      </w:r>
    </w:p>
    <w:p w14:paraId="6308FCB8">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国家标准、勘察技术规范、规程和标准：</w:t>
      </w:r>
    </w:p>
    <w:p w14:paraId="6AD41AD9">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（1）《工程勘察通用规范》（GB55017-2021）</w:t>
      </w:r>
    </w:p>
    <w:p w14:paraId="6616E845">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（2）《岩土工程勘察规范》（GB50021-2001）(2009年版)</w:t>
      </w:r>
    </w:p>
    <w:p w14:paraId="17D99F6C">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（3）《建筑与市政地基基础通用规范》（GB55003-2021）</w:t>
      </w:r>
    </w:p>
    <w:p w14:paraId="12C5AB7C">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（4）《建筑地基基础设计规范》（GB50007-2011）</w:t>
      </w:r>
    </w:p>
    <w:p w14:paraId="44505ED5">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（5）《建筑与市政工程抗震通用规范》（GB55002-2021）</w:t>
      </w:r>
    </w:p>
    <w:p w14:paraId="5A52E05A">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（6）《建筑抗震设计规范》（GB50011-2010）（2016年版）</w:t>
      </w:r>
    </w:p>
    <w:p w14:paraId="3875C7C5">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（7）《建筑工程抗震设防分类标准》（GB50223-2008）</w:t>
      </w:r>
    </w:p>
    <w:p w14:paraId="197D99B3">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（8）《工程测量标准》（GB50026-2020）</w:t>
      </w:r>
    </w:p>
    <w:p w14:paraId="027E264C">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（9）《土工试验方法标准》（GB/T50123-2019）</w:t>
      </w:r>
    </w:p>
    <w:p w14:paraId="3C8FE2EA">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（10）《湿陷性黄土地区建筑标准》（GB50025-2018）</w:t>
      </w:r>
    </w:p>
    <w:p w14:paraId="7A60C151">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行业标准：</w:t>
      </w:r>
    </w:p>
    <w:p w14:paraId="6CE54785">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（1）《高层建筑岩土工程勘察标准》（JGJ/T72-2017）</w:t>
      </w:r>
    </w:p>
    <w:p w14:paraId="3B21626A">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（2）《建筑地基处理技术规范》（JGJ79-2012）</w:t>
      </w:r>
    </w:p>
    <w:p w14:paraId="14FB162C">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（3）《建筑桩基技术规范》（JGJ94-2008）</w:t>
      </w:r>
    </w:p>
    <w:p w14:paraId="0CACF788">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（4）《城乡规划工程地质勘察规范》（CJJ57-2012）</w:t>
      </w:r>
    </w:p>
    <w:p w14:paraId="7F8E6328">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（5）《建筑基坑支护技术规程》（JGJ120-2012）</w:t>
      </w:r>
    </w:p>
    <w:p w14:paraId="662A3918">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（6）《建筑工程地质勘探与取样技术规程》（JGJ/T87-2012）</w:t>
      </w:r>
    </w:p>
    <w:p w14:paraId="7CDD3052">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（7）《建筑工程抗浮技术标准》（JGJ 476-2019）</w:t>
      </w:r>
    </w:p>
    <w:p w14:paraId="0C5F2DD2">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（8）《房屋建筑和市政基础设施工程勘察文件编制深度规定》（2020年版）</w:t>
      </w:r>
    </w:p>
    <w:p w14:paraId="4C93BB7D">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地方标准：</w:t>
      </w:r>
    </w:p>
    <w:p w14:paraId="5A8C946F">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（1）《建筑地基基础勘察设计规范》（DBJ04/T258-2016）</w:t>
      </w:r>
    </w:p>
    <w:p w14:paraId="5E2740FC">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（2）《建筑工程勘察文件编制标准》（DBJ04/T248-2024）</w:t>
      </w:r>
    </w:p>
    <w:p w14:paraId="22F4FB82">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（3）《建筑基坑工程技术规范》（DBJ04/T306-2025）</w:t>
      </w:r>
    </w:p>
    <w:p w14:paraId="279668A2">
      <w:pPr>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（4）《湿陷性黄土场地勘察及地基处理技术标准》（DBJ04/T312-2024）</w:t>
      </w:r>
    </w:p>
    <w:p w14:paraId="0270F34F">
      <w:pPr>
        <w:rPr>
          <w:rFonts w:ascii="宋体" w:hAnsi="宋体" w:eastAsia="宋体" w:cs="宋体"/>
          <w:sz w:val="32"/>
          <w:szCs w:val="32"/>
          <w:highlight w:val="none"/>
        </w:rPr>
      </w:pPr>
      <w:r>
        <w:rPr>
          <w:rFonts w:hint="eastAsia" w:ascii="宋体" w:hAnsi="宋体" w:eastAsia="宋体" w:cs="宋体"/>
          <w:sz w:val="32"/>
          <w:szCs w:val="32"/>
          <w:highlight w:val="none"/>
          <w:lang w:val="en-US" w:eastAsia="zh-CN"/>
        </w:rPr>
        <w:t>5.</w:t>
      </w:r>
      <w:r>
        <w:rPr>
          <w:rFonts w:hint="eastAsia" w:ascii="宋体" w:hAnsi="宋体" w:eastAsia="宋体" w:cs="宋体"/>
          <w:sz w:val="32"/>
          <w:szCs w:val="32"/>
          <w:highlight w:val="none"/>
        </w:rPr>
        <w:t>成果文件要求</w:t>
      </w:r>
    </w:p>
    <w:p w14:paraId="4232D7FE">
      <w:pPr>
        <w:ind w:firstLine="640" w:firstLineChars="200"/>
        <w:rPr>
          <w:rFonts w:ascii="宋体" w:hAnsi="宋体" w:eastAsia="宋体" w:cs="宋体"/>
          <w:sz w:val="32"/>
          <w:szCs w:val="32"/>
          <w:highlight w:val="none"/>
          <w:lang w:bidi="en-US"/>
        </w:rPr>
      </w:pPr>
      <w:r>
        <w:rPr>
          <w:rFonts w:hint="eastAsia" w:ascii="宋体" w:hAnsi="宋体" w:eastAsia="宋体" w:cs="宋体"/>
          <w:sz w:val="32"/>
          <w:szCs w:val="32"/>
          <w:highlight w:val="none"/>
          <w:lang w:bidi="en-US"/>
        </w:rPr>
        <w:t>（1）勘察报告正文；</w:t>
      </w:r>
    </w:p>
    <w:p w14:paraId="33951141">
      <w:pPr>
        <w:ind w:firstLine="640" w:firstLineChars="200"/>
        <w:rPr>
          <w:rFonts w:ascii="宋体" w:hAnsi="宋体" w:eastAsia="宋体" w:cs="宋体"/>
          <w:sz w:val="32"/>
          <w:szCs w:val="32"/>
          <w:highlight w:val="none"/>
          <w:lang w:bidi="en-US"/>
        </w:rPr>
      </w:pPr>
      <w:r>
        <w:rPr>
          <w:rFonts w:hint="eastAsia" w:ascii="宋体" w:hAnsi="宋体" w:eastAsia="宋体" w:cs="宋体"/>
          <w:sz w:val="32"/>
          <w:szCs w:val="32"/>
          <w:highlight w:val="none"/>
          <w:lang w:bidi="en-US"/>
        </w:rPr>
        <w:t>（2）勘探点平面布置图；</w:t>
      </w:r>
    </w:p>
    <w:p w14:paraId="78C3BD42">
      <w:pPr>
        <w:ind w:firstLine="640" w:firstLineChars="200"/>
        <w:rPr>
          <w:rFonts w:ascii="宋体" w:hAnsi="宋体" w:eastAsia="宋体" w:cs="宋体"/>
          <w:sz w:val="32"/>
          <w:szCs w:val="32"/>
          <w:highlight w:val="none"/>
          <w:lang w:bidi="en-US"/>
        </w:rPr>
      </w:pPr>
      <w:r>
        <w:rPr>
          <w:rFonts w:hint="eastAsia" w:ascii="宋体" w:hAnsi="宋体" w:eastAsia="宋体" w:cs="宋体"/>
          <w:sz w:val="32"/>
          <w:szCs w:val="32"/>
          <w:highlight w:val="none"/>
          <w:lang w:bidi="en-US"/>
        </w:rPr>
        <w:t>（3）工程地质剖面图；</w:t>
      </w:r>
    </w:p>
    <w:p w14:paraId="0840743B">
      <w:pPr>
        <w:ind w:firstLine="640" w:firstLineChars="200"/>
        <w:rPr>
          <w:rFonts w:ascii="宋体" w:hAnsi="宋体" w:eastAsia="宋体" w:cs="宋体"/>
          <w:sz w:val="32"/>
          <w:szCs w:val="32"/>
          <w:highlight w:val="none"/>
          <w:lang w:bidi="en-US"/>
        </w:rPr>
      </w:pPr>
      <w:r>
        <w:rPr>
          <w:rFonts w:hint="eastAsia" w:ascii="宋体" w:hAnsi="宋体" w:eastAsia="宋体" w:cs="宋体"/>
          <w:sz w:val="32"/>
          <w:szCs w:val="32"/>
          <w:highlight w:val="none"/>
          <w:lang w:bidi="en-US"/>
        </w:rPr>
        <w:t>（4）钻孔柱状图；</w:t>
      </w:r>
    </w:p>
    <w:p w14:paraId="2BB7BA73">
      <w:pPr>
        <w:ind w:firstLine="640" w:firstLineChars="200"/>
        <w:rPr>
          <w:rFonts w:ascii="宋体" w:hAnsi="宋体" w:eastAsia="宋体" w:cs="宋体"/>
          <w:sz w:val="32"/>
          <w:szCs w:val="32"/>
          <w:highlight w:val="none"/>
          <w:lang w:bidi="en-US"/>
        </w:rPr>
      </w:pPr>
      <w:r>
        <w:rPr>
          <w:rFonts w:hint="eastAsia" w:ascii="宋体" w:hAnsi="宋体" w:eastAsia="宋体" w:cs="宋体"/>
          <w:sz w:val="32"/>
          <w:szCs w:val="32"/>
          <w:highlight w:val="none"/>
          <w:lang w:bidi="en-US"/>
        </w:rPr>
        <w:t>（5）土工试验成果报告。</w:t>
      </w:r>
    </w:p>
    <w:p w14:paraId="05B4C4B6">
      <w:pPr>
        <w:rPr>
          <w:rFonts w:ascii="宋体" w:hAnsi="宋体" w:eastAsia="宋体" w:cs="宋体"/>
          <w:sz w:val="32"/>
          <w:szCs w:val="32"/>
        </w:rPr>
      </w:pPr>
      <w:r>
        <w:rPr>
          <w:rFonts w:hint="eastAsia" w:ascii="宋体" w:hAnsi="宋体" w:eastAsia="宋体" w:cs="宋体"/>
          <w:sz w:val="32"/>
          <w:szCs w:val="32"/>
        </w:rPr>
        <w:t>七、服务内容及技术参数中允许负偏离条数： 0  条（除*号条款外）</w:t>
      </w:r>
    </w:p>
    <w:p w14:paraId="2C6ABC40">
      <w:pPr>
        <w:rPr>
          <w:rFonts w:ascii="宋体" w:hAnsi="宋体" w:eastAsia="宋体" w:cs="宋体"/>
          <w:sz w:val="32"/>
          <w:szCs w:val="32"/>
        </w:rPr>
      </w:pPr>
      <w:r>
        <w:rPr>
          <w:rFonts w:hint="eastAsia" w:ascii="宋体" w:hAnsi="宋体" w:eastAsia="宋体" w:cs="宋体"/>
          <w:sz w:val="32"/>
          <w:szCs w:val="32"/>
        </w:rPr>
        <w:t>八、其他要求：无</w:t>
      </w:r>
    </w:p>
    <w:p w14:paraId="635812E4">
      <w:pPr>
        <w:jc w:val="center"/>
        <w:rPr>
          <w:sz w:val="28"/>
          <w:szCs w:val="28"/>
        </w:rPr>
      </w:pPr>
    </w:p>
    <w:p w14:paraId="25367163">
      <w:pPr>
        <w:jc w:val="center"/>
        <w:rPr>
          <w:sz w:val="28"/>
          <w:szCs w:val="28"/>
        </w:rPr>
      </w:pPr>
    </w:p>
    <w:p w14:paraId="7F1CF71C">
      <w:pPr>
        <w:rPr>
          <w:sz w:val="28"/>
          <w:szCs w:val="28"/>
        </w:rPr>
      </w:pPr>
    </w:p>
    <w:p w14:paraId="53B6F353">
      <w:pPr>
        <w:jc w:val="center"/>
        <w:rPr>
          <w:sz w:val="28"/>
          <w:szCs w:val="28"/>
        </w:rPr>
      </w:pP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66"/>
    <w:rsid w:val="00056659"/>
    <w:rsid w:val="00135EF7"/>
    <w:rsid w:val="0016733D"/>
    <w:rsid w:val="00332550"/>
    <w:rsid w:val="00352AA4"/>
    <w:rsid w:val="0035685A"/>
    <w:rsid w:val="003C2CE9"/>
    <w:rsid w:val="004110CA"/>
    <w:rsid w:val="00412DC1"/>
    <w:rsid w:val="00522ED5"/>
    <w:rsid w:val="00651772"/>
    <w:rsid w:val="00710F66"/>
    <w:rsid w:val="00874547"/>
    <w:rsid w:val="00B119F8"/>
    <w:rsid w:val="00C97E6E"/>
    <w:rsid w:val="00D236BA"/>
    <w:rsid w:val="00D3635F"/>
    <w:rsid w:val="00E8154B"/>
    <w:rsid w:val="00F63A43"/>
    <w:rsid w:val="01C27C1E"/>
    <w:rsid w:val="020D5983"/>
    <w:rsid w:val="035C6255"/>
    <w:rsid w:val="0BAB202F"/>
    <w:rsid w:val="108A4CFA"/>
    <w:rsid w:val="11B14CAD"/>
    <w:rsid w:val="17521698"/>
    <w:rsid w:val="175A3BA9"/>
    <w:rsid w:val="1B96154E"/>
    <w:rsid w:val="29B157B5"/>
    <w:rsid w:val="2CCC5A07"/>
    <w:rsid w:val="2DB544A0"/>
    <w:rsid w:val="2E670F7D"/>
    <w:rsid w:val="3229259C"/>
    <w:rsid w:val="33B11769"/>
    <w:rsid w:val="3AFC1B06"/>
    <w:rsid w:val="3ECA6E39"/>
    <w:rsid w:val="426B362F"/>
    <w:rsid w:val="44851236"/>
    <w:rsid w:val="462F75EE"/>
    <w:rsid w:val="5CE37B43"/>
    <w:rsid w:val="5ECB15A2"/>
    <w:rsid w:val="65C159BE"/>
    <w:rsid w:val="68B5618E"/>
    <w:rsid w:val="70ED2F76"/>
    <w:rsid w:val="72850E88"/>
    <w:rsid w:val="774269D5"/>
    <w:rsid w:val="7AA008BF"/>
    <w:rsid w:val="7AA42ACC"/>
    <w:rsid w:val="7D9C0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jc w:val="left"/>
    </w:pPr>
    <w:rPr>
      <w:rFonts w:ascii="Times New Roman" w:hAnsi="Times New Roman" w:eastAsia="Times New Roman" w:cs="Times New Roman"/>
      <w:color w:val="000000"/>
      <w:kern w:val="0"/>
      <w:sz w:val="24"/>
      <w:szCs w:val="20"/>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1679</Words>
  <Characters>1969</Characters>
  <Lines>14</Lines>
  <Paragraphs>4</Paragraphs>
  <TotalTime>67</TotalTime>
  <ScaleCrop>false</ScaleCrop>
  <LinksUpToDate>false</LinksUpToDate>
  <CharactersWithSpaces>1993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2025-06-10T02:05:00Z</dcterms:created>
  <dc:creator>Administrator</dc:creator>
  <cp:lastModifiedBy>牛锦柔</cp:lastModifiedBy>
  <cp:lastPrinted>2025-09-17T09:28:00Z</cp:lastPrinted>
  <dcterms:modified xsi:type="dcterms:W3CDTF">2025-10-22T04:11:53Z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eyJoZGlkIjoiYjkwM2U3YmIzMWNmZjEyMDAwNmY4NzBjODcwN2IxNWYiLCJ1c2VySWQiOiI4NjA2NDEyODQifQ==</vt:lpwstr>
  </property>
  <property fmtid="{D5CDD505-2E9C-101B-9397-08002B2CF9AE}" pid="4" name="ICV">
    <vt:lpwstr>3BC07E2F405245FE8C8F69FC0BA1D80D_13</vt:lpwstr>
  </property>
</Properties>
</file>