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4C09B">
      <w:pPr>
        <w:jc w:val="left"/>
        <w:rPr>
          <w:rFonts w:hint="default" w:ascii="宋体" w:hAnsi="宋体" w:eastAsia="宋体" w:cs="宋体"/>
          <w:b/>
          <w:bCs/>
          <w:sz w:val="24"/>
          <w:szCs w:val="24"/>
          <w:lang w:val="en-US" w:eastAsia="zh-CN"/>
        </w:rPr>
      </w:pPr>
      <w:r>
        <w:rPr>
          <w:rFonts w:hint="eastAsia" w:ascii="仿宋" w:hAnsi="仿宋" w:eastAsia="仿宋" w:cs="仿宋"/>
          <w:sz w:val="32"/>
          <w:szCs w:val="32"/>
        </w:rPr>
        <w:t>附件2</w:t>
      </w:r>
      <w:r>
        <w:rPr>
          <w:rFonts w:hint="eastAsia" w:ascii="仿宋" w:hAnsi="仿宋" w:eastAsia="仿宋" w:cs="仿宋"/>
          <w:sz w:val="32"/>
          <w:szCs w:val="32"/>
          <w:lang w:val="en-US" w:eastAsia="zh-CN"/>
        </w:rPr>
        <w:t>-17</w:t>
      </w:r>
    </w:p>
    <w:p w14:paraId="1A092732">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山西省肿瘤医院</w:t>
      </w:r>
      <w:r>
        <w:rPr>
          <w:rFonts w:hint="eastAsia" w:ascii="微软雅黑" w:hAnsi="微软雅黑" w:eastAsia="微软雅黑" w:cs="微软雅黑"/>
          <w:b/>
          <w:bCs/>
          <w:sz w:val="24"/>
          <w:szCs w:val="24"/>
          <w:lang w:val="en-US" w:eastAsia="zh-CN"/>
        </w:rPr>
        <w:t>·</w:t>
      </w:r>
      <w:r>
        <w:rPr>
          <w:rFonts w:hint="eastAsia" w:ascii="宋体" w:hAnsi="宋体" w:eastAsia="宋体" w:cs="宋体"/>
          <w:b/>
          <w:bCs/>
          <w:sz w:val="24"/>
          <w:szCs w:val="24"/>
          <w:lang w:val="en-US" w:eastAsia="zh-CN"/>
        </w:rPr>
        <w:t>中国医学科学院肿瘤医院山西医院</w:t>
      </w:r>
    </w:p>
    <w:p w14:paraId="679B34C3">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新院区建设项目</w:t>
      </w:r>
      <w:r>
        <w:rPr>
          <w:rFonts w:hint="eastAsia" w:ascii="宋体" w:hAnsi="宋体" w:eastAsia="宋体" w:cs="宋体"/>
          <w:b/>
          <w:bCs/>
          <w:sz w:val="32"/>
          <w:szCs w:val="32"/>
          <w:lang w:eastAsia="zh-CN"/>
        </w:rPr>
        <w:t>采购需求</w:t>
      </w:r>
    </w:p>
    <w:p w14:paraId="1EF4C587">
      <w:pPr>
        <w:rPr>
          <w:rFonts w:hint="default"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一、采购范围：</w:t>
      </w:r>
      <w:r>
        <w:rPr>
          <w:rFonts w:hint="eastAsia" w:ascii="宋体" w:hAnsi="宋体" w:eastAsia="宋体" w:cs="宋体"/>
          <w:color w:val="000000" w:themeColor="text1"/>
          <w:sz w:val="32"/>
          <w:szCs w:val="32"/>
          <w:u w:val="none"/>
          <w14:textFill>
            <w14:solidFill>
              <w14:schemeClr w14:val="tx1"/>
            </w14:solidFill>
          </w14:textFill>
        </w:rPr>
        <w:t>中国医学科学院肿瘤医院山西医院新院区</w:t>
      </w:r>
      <w:r>
        <w:rPr>
          <w:rFonts w:hint="eastAsia" w:ascii="宋体" w:hAnsi="宋体" w:eastAsia="宋体" w:cs="宋体"/>
          <w:color w:val="000000" w:themeColor="text1"/>
          <w:sz w:val="32"/>
          <w:szCs w:val="32"/>
          <w:u w:val="none"/>
          <w:lang w:val="en-US" w:eastAsia="zh-CN"/>
          <w14:textFill>
            <w14:solidFill>
              <w14:schemeClr w14:val="tx1"/>
            </w14:solidFill>
          </w14:textFill>
        </w:rPr>
        <w:t>建设</w:t>
      </w:r>
      <w:r>
        <w:rPr>
          <w:rFonts w:hint="eastAsia" w:ascii="宋体" w:hAnsi="宋体" w:eastAsia="宋体" w:cs="宋体"/>
          <w:sz w:val="32"/>
          <w:szCs w:val="32"/>
          <w:u w:val="none"/>
        </w:rPr>
        <w:t>项目</w:t>
      </w:r>
      <w:r>
        <w:rPr>
          <w:rFonts w:hint="eastAsia" w:asciiTheme="minorEastAsia" w:hAnsiTheme="minorEastAsia" w:eastAsiaTheme="minorEastAsia" w:cstheme="minorEastAsia"/>
          <w:b/>
          <w:bCs/>
          <w:color w:val="auto"/>
          <w:sz w:val="32"/>
          <w:szCs w:val="32"/>
          <w:u w:val="none"/>
          <w:lang w:val="en-US" w:eastAsia="zh-CN"/>
        </w:rPr>
        <w:t>节能</w:t>
      </w:r>
      <w:r>
        <w:rPr>
          <w:rFonts w:hint="eastAsia" w:asciiTheme="minorEastAsia" w:hAnsiTheme="minorEastAsia" w:cstheme="minorEastAsia"/>
          <w:b/>
          <w:bCs/>
          <w:color w:val="auto"/>
          <w:sz w:val="32"/>
          <w:szCs w:val="32"/>
          <w:u w:val="none"/>
          <w:lang w:val="en-US" w:eastAsia="zh-CN"/>
        </w:rPr>
        <w:t>评估</w:t>
      </w:r>
      <w:r>
        <w:rPr>
          <w:rFonts w:hint="eastAsia" w:asciiTheme="minorEastAsia" w:hAnsiTheme="minorEastAsia" w:eastAsiaTheme="minorEastAsia" w:cstheme="minorEastAsia"/>
          <w:b/>
          <w:bCs/>
          <w:color w:val="auto"/>
          <w:sz w:val="32"/>
          <w:szCs w:val="32"/>
          <w:u w:val="none"/>
          <w:lang w:val="en-US" w:eastAsia="zh-CN"/>
        </w:rPr>
        <w:t>报告</w:t>
      </w:r>
      <w:r>
        <w:rPr>
          <w:rFonts w:hint="eastAsia" w:ascii="宋体" w:hAnsi="宋体" w:eastAsia="宋体" w:cs="宋体"/>
          <w:sz w:val="32"/>
          <w:szCs w:val="32"/>
          <w:u w:val="none"/>
          <w:lang w:val="en-US" w:eastAsia="zh-CN"/>
        </w:rPr>
        <w:t>的编制</w:t>
      </w:r>
    </w:p>
    <w:p w14:paraId="00BF9CA2">
      <w:pPr>
        <w:spacing w:line="360" w:lineRule="auto"/>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二、特定资格要求：有效支持新院区建设项目立项文件的实施要求，编制单位保证编制文件的通过性。</w:t>
      </w:r>
    </w:p>
    <w:p w14:paraId="12BEBEE5">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1. </w:t>
      </w:r>
      <w:r>
        <w:rPr>
          <w:rFonts w:hint="eastAsia" w:ascii="宋体" w:hAnsi="宋体" w:eastAsia="宋体" w:cs="宋体"/>
          <w:sz w:val="32"/>
          <w:szCs w:val="32"/>
        </w:rPr>
        <w:t>投标人须在中华人民共和国境内注册，具有有效营业执照的企业法人或其他组织</w:t>
      </w:r>
      <w:r>
        <w:rPr>
          <w:rFonts w:hint="eastAsia" w:ascii="宋体" w:hAnsi="宋体" w:eastAsia="宋体" w:cs="宋体"/>
          <w:sz w:val="32"/>
          <w:szCs w:val="32"/>
          <w:lang w:eastAsia="zh-CN"/>
        </w:rPr>
        <w:t>。</w:t>
      </w:r>
    </w:p>
    <w:p w14:paraId="4DA3FBDB">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2. </w:t>
      </w:r>
      <w:r>
        <w:rPr>
          <w:rFonts w:hint="eastAsia" w:ascii="宋体" w:hAnsi="宋体" w:eastAsia="宋体" w:cs="宋体"/>
          <w:sz w:val="32"/>
          <w:szCs w:val="32"/>
        </w:rPr>
        <w:t>投标人须</w:t>
      </w:r>
      <w:r>
        <w:rPr>
          <w:rFonts w:hint="eastAsia" w:ascii="宋体" w:hAnsi="宋体" w:eastAsia="宋体" w:cs="宋体"/>
          <w:sz w:val="32"/>
          <w:szCs w:val="32"/>
          <w:lang w:val="en-US" w:eastAsia="zh-CN"/>
        </w:rPr>
        <w:t>节能评价</w:t>
      </w:r>
      <w:r>
        <w:rPr>
          <w:rFonts w:hint="eastAsia" w:ascii="宋体" w:hAnsi="宋体" w:eastAsia="宋体" w:cs="宋体"/>
          <w:sz w:val="32"/>
          <w:szCs w:val="32"/>
        </w:rPr>
        <w:t>专业相关</w:t>
      </w:r>
      <w:r>
        <w:rPr>
          <w:rFonts w:hint="eastAsia" w:ascii="宋体" w:hAnsi="宋体" w:eastAsia="宋体" w:cs="宋体"/>
          <w:sz w:val="32"/>
          <w:szCs w:val="32"/>
          <w:lang w:val="en-US" w:eastAsia="zh-CN"/>
        </w:rPr>
        <w:t>甲级</w:t>
      </w:r>
      <w:r>
        <w:rPr>
          <w:rFonts w:hint="eastAsia" w:ascii="宋体" w:hAnsi="宋体" w:eastAsia="宋体" w:cs="宋体"/>
          <w:sz w:val="32"/>
          <w:szCs w:val="32"/>
        </w:rPr>
        <w:t>及以上资质，在人员、设备、资金等方面具有相应的能力</w:t>
      </w:r>
      <w:r>
        <w:rPr>
          <w:rFonts w:hint="eastAsia" w:ascii="宋体" w:hAnsi="宋体" w:eastAsia="宋体" w:cs="宋体"/>
          <w:sz w:val="32"/>
          <w:szCs w:val="32"/>
          <w:lang w:eastAsia="zh-CN"/>
        </w:rPr>
        <w:t>。</w:t>
      </w:r>
    </w:p>
    <w:p w14:paraId="194BC2EC">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3. </w:t>
      </w:r>
      <w:r>
        <w:rPr>
          <w:rFonts w:hint="eastAsia" w:ascii="宋体" w:hAnsi="宋体" w:eastAsia="宋体" w:cs="宋体"/>
          <w:sz w:val="32"/>
          <w:szCs w:val="32"/>
        </w:rPr>
        <w:t>拟派项目负责人具有高级职称或注册规划师资格、相关专业高级职称或注册咨询师资格</w:t>
      </w:r>
      <w:r>
        <w:rPr>
          <w:rFonts w:hint="eastAsia" w:ascii="宋体" w:hAnsi="宋体" w:eastAsia="宋体" w:cs="宋体"/>
          <w:sz w:val="32"/>
          <w:szCs w:val="32"/>
          <w:lang w:eastAsia="zh-CN"/>
        </w:rPr>
        <w:t>。</w:t>
      </w:r>
    </w:p>
    <w:p w14:paraId="55539512">
      <w:pPr>
        <w:spacing w:line="360" w:lineRule="auto"/>
        <w:rPr>
          <w:rFonts w:hint="eastAsia" w:ascii="宋体" w:hAnsi="宋体" w:eastAsia="宋体" w:cs="宋体"/>
          <w:sz w:val="32"/>
          <w:szCs w:val="32"/>
        </w:rPr>
      </w:pPr>
      <w:r>
        <w:rPr>
          <w:rFonts w:hint="eastAsia" w:ascii="宋体" w:hAnsi="宋体" w:eastAsia="宋体" w:cs="宋体"/>
          <w:sz w:val="32"/>
          <w:szCs w:val="32"/>
          <w:lang w:val="en-US" w:eastAsia="zh-CN"/>
        </w:rPr>
        <w:t xml:space="preserve">4. </w:t>
      </w:r>
      <w:r>
        <w:rPr>
          <w:rFonts w:hint="eastAsia" w:ascii="宋体" w:hAnsi="宋体" w:eastAsia="宋体" w:cs="宋体"/>
          <w:sz w:val="32"/>
          <w:szCs w:val="32"/>
        </w:rPr>
        <w:t>单位负责人为同一人或存在控股、管理关系的不同单位不得同时对本项目投标，否则相关投标均无效。</w:t>
      </w:r>
    </w:p>
    <w:p w14:paraId="683EA8E8">
      <w:pPr>
        <w:spacing w:line="360" w:lineRule="auto"/>
        <w:rPr>
          <w:rFonts w:hint="eastAsia" w:ascii="宋体" w:hAnsi="宋体" w:eastAsia="宋体" w:cs="宋体"/>
          <w:snapToGrid w:val="0"/>
          <w:sz w:val="32"/>
          <w:szCs w:val="32"/>
          <w:lang w:eastAsia="zh-CN"/>
        </w:rPr>
      </w:pPr>
      <w:r>
        <w:rPr>
          <w:rFonts w:hint="eastAsia" w:ascii="宋体" w:hAnsi="宋体" w:eastAsia="宋体" w:cs="宋体"/>
          <w:sz w:val="32"/>
          <w:szCs w:val="32"/>
          <w:lang w:val="en-US" w:eastAsia="zh-CN"/>
        </w:rPr>
        <w:t xml:space="preserve">5. </w:t>
      </w:r>
      <w:r>
        <w:rPr>
          <w:rFonts w:hint="eastAsia" w:ascii="宋体" w:hAnsi="宋体" w:eastAsia="宋体" w:cs="宋体"/>
          <w:sz w:val="32"/>
          <w:szCs w:val="32"/>
        </w:rPr>
        <w:t>投标人</w:t>
      </w:r>
      <w:r>
        <w:rPr>
          <w:rFonts w:hint="eastAsia" w:ascii="宋体" w:hAnsi="宋体" w:eastAsia="宋体" w:cs="宋体"/>
          <w:snapToGrid w:val="0"/>
          <w:sz w:val="32"/>
          <w:szCs w:val="32"/>
        </w:rPr>
        <w:t>在经营活动中没有重大违法记录且未被人民法院列入失信被执行人名单，以“信用中国”网站（www.creditchina.gov.cn）或中华人民共和国最高人民法院查询结果为准；</w:t>
      </w:r>
      <w:r>
        <w:rPr>
          <w:rFonts w:hint="eastAsia" w:ascii="宋体" w:hAnsi="宋体" w:eastAsia="宋体" w:cs="宋体"/>
          <w:snapToGrid w:val="0"/>
          <w:sz w:val="32"/>
          <w:szCs w:val="32"/>
          <w:lang w:eastAsia="zh-CN"/>
        </w:rPr>
        <w:t>国家企业信用信息公示系统</w:t>
      </w:r>
      <w:r>
        <w:rPr>
          <w:rFonts w:hint="eastAsia" w:ascii="宋体" w:hAnsi="宋体" w:eastAsia="宋体" w:cs="宋体"/>
          <w:snapToGrid w:val="0"/>
          <w:sz w:val="32"/>
          <w:szCs w:val="32"/>
        </w:rPr>
        <w:t>中是否严重违法失信企业名单的截图</w:t>
      </w:r>
      <w:r>
        <w:rPr>
          <w:rFonts w:hint="eastAsia" w:ascii="宋体" w:hAnsi="宋体" w:eastAsia="宋体" w:cs="宋体"/>
          <w:snapToGrid w:val="0"/>
          <w:sz w:val="32"/>
          <w:szCs w:val="32"/>
          <w:lang w:eastAsia="zh-CN"/>
        </w:rPr>
        <w:t>。</w:t>
      </w:r>
    </w:p>
    <w:p w14:paraId="18CB8782">
      <w:pPr>
        <w:spacing w:line="360" w:lineRule="auto"/>
        <w:rPr>
          <w:rFonts w:hint="eastAsia" w:ascii="宋体" w:hAnsi="宋体" w:eastAsia="宋体" w:cs="宋体"/>
          <w:sz w:val="32"/>
          <w:szCs w:val="32"/>
          <w:u w:val="none"/>
          <w:lang w:val="en-US" w:eastAsia="zh-CN"/>
        </w:rPr>
      </w:pPr>
      <w:r>
        <w:rPr>
          <w:rFonts w:hint="eastAsia" w:ascii="宋体" w:hAnsi="宋体" w:eastAsia="宋体" w:cs="宋体"/>
          <w:snapToGrid w:val="0"/>
          <w:sz w:val="32"/>
          <w:szCs w:val="32"/>
          <w:lang w:val="en-US" w:eastAsia="zh-CN"/>
        </w:rPr>
        <w:t xml:space="preserve">6. </w:t>
      </w:r>
      <w:r>
        <w:rPr>
          <w:rFonts w:hint="eastAsia" w:ascii="宋体" w:hAnsi="宋体" w:eastAsia="宋体" w:cs="宋体"/>
          <w:sz w:val="32"/>
          <w:szCs w:val="32"/>
        </w:rPr>
        <w:t>本项目不接受联合体投标。</w:t>
      </w:r>
    </w:p>
    <w:p w14:paraId="0D688CF3">
      <w:pPr>
        <w:numPr>
          <w:ilvl w:val="0"/>
          <w:numId w:val="0"/>
        </w:numPr>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三、服务期限（服务）/质保期（货物）：根据招标文件相关要求执行。</w:t>
      </w:r>
    </w:p>
    <w:p w14:paraId="00FA35DD">
      <w:pPr>
        <w:numPr>
          <w:ilvl w:val="0"/>
          <w:numId w:val="0"/>
        </w:numPr>
        <w:rPr>
          <w:rFonts w:hint="eastAsia" w:ascii="宋体" w:hAnsi="宋体" w:eastAsia="宋体" w:cs="宋体"/>
          <w:sz w:val="32"/>
          <w:szCs w:val="32"/>
          <w:u w:val="none"/>
        </w:rPr>
      </w:pPr>
      <w:r>
        <w:rPr>
          <w:rFonts w:hint="eastAsia" w:ascii="宋体" w:hAnsi="宋体" w:eastAsia="宋体" w:cs="宋体"/>
          <w:sz w:val="32"/>
          <w:szCs w:val="32"/>
          <w:u w:val="none"/>
          <w:lang w:val="en-US" w:eastAsia="zh-CN"/>
        </w:rPr>
        <w:t>四、服务地点：拟</w:t>
      </w:r>
      <w:r>
        <w:rPr>
          <w:rFonts w:hint="eastAsia" w:ascii="宋体" w:hAnsi="宋体" w:eastAsia="宋体" w:cs="宋体"/>
          <w:sz w:val="32"/>
          <w:szCs w:val="32"/>
          <w:u w:val="none"/>
        </w:rPr>
        <w:t>选址太原市杏花岭区北沙河以东、凯旋街以南、新街南二巷以北，新村路以西。</w:t>
      </w:r>
    </w:p>
    <w:p w14:paraId="72780569">
      <w:pPr>
        <w:numPr>
          <w:ilvl w:val="0"/>
          <w:numId w:val="0"/>
        </w:numPr>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五、付款方式：依据中标合同约定进行预付、工程进度完成支付。</w:t>
      </w:r>
    </w:p>
    <w:p w14:paraId="55FA8F76">
      <w:pPr>
        <w:numPr>
          <w:ilvl w:val="0"/>
          <w:numId w:val="0"/>
        </w:numPr>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六、</w:t>
      </w:r>
      <w:r>
        <w:rPr>
          <w:rFonts w:hint="eastAsia" w:asciiTheme="minorEastAsia" w:hAnsiTheme="minorEastAsia" w:eastAsiaTheme="minorEastAsia" w:cstheme="minorEastAsia"/>
          <w:color w:val="auto"/>
          <w:sz w:val="32"/>
          <w:szCs w:val="32"/>
          <w:u w:val="none"/>
          <w:lang w:val="en-US" w:eastAsia="zh-CN"/>
        </w:rPr>
        <w:t>节能报告</w:t>
      </w:r>
      <w:r>
        <w:rPr>
          <w:rFonts w:hint="eastAsia" w:asciiTheme="minorEastAsia" w:hAnsiTheme="minorEastAsia" w:cstheme="minorEastAsia"/>
          <w:color w:val="auto"/>
          <w:sz w:val="32"/>
          <w:szCs w:val="32"/>
          <w:u w:val="none"/>
          <w:lang w:val="en-US" w:eastAsia="zh-CN"/>
        </w:rPr>
        <w:t>的</w:t>
      </w:r>
      <w:r>
        <w:rPr>
          <w:rFonts w:hint="eastAsia" w:ascii="宋体" w:hAnsi="宋体" w:eastAsia="宋体" w:cs="宋体"/>
          <w:sz w:val="32"/>
          <w:szCs w:val="32"/>
          <w:u w:val="none"/>
          <w:lang w:val="en-US" w:eastAsia="zh-CN"/>
        </w:rPr>
        <w:t>服务内容及技术参数</w:t>
      </w:r>
    </w:p>
    <w:p w14:paraId="55823094">
      <w:pPr>
        <w:numPr>
          <w:ilvl w:val="0"/>
          <w:numId w:val="1"/>
        </w:numPr>
        <w:rPr>
          <w:rFonts w:hint="eastAsia" w:ascii="宋体" w:hAnsi="宋体" w:eastAsia="宋体" w:cs="宋体"/>
          <w:sz w:val="32"/>
          <w:szCs w:val="40"/>
        </w:rPr>
      </w:pPr>
      <w:r>
        <w:rPr>
          <w:rFonts w:hint="eastAsia" w:ascii="宋体" w:hAnsi="宋体" w:eastAsia="宋体" w:cs="宋体"/>
          <w:sz w:val="32"/>
          <w:szCs w:val="40"/>
        </w:rPr>
        <w:t>服务内容</w:t>
      </w:r>
    </w:p>
    <w:p w14:paraId="220C4757">
      <w:pPr>
        <w:ind w:firstLine="640" w:firstLineChars="200"/>
        <w:rPr>
          <w:rFonts w:hint="eastAsia" w:ascii="宋体" w:hAnsi="宋体" w:eastAsia="宋体" w:cs="宋体"/>
          <w:sz w:val="32"/>
          <w:szCs w:val="40"/>
        </w:rPr>
      </w:pPr>
      <w:r>
        <w:rPr>
          <w:rFonts w:hint="eastAsia" w:ascii="宋体" w:hAnsi="宋体" w:eastAsia="宋体" w:cs="宋体"/>
          <w:sz w:val="32"/>
          <w:szCs w:val="32"/>
          <w:lang w:eastAsia="zh-CN"/>
        </w:rPr>
        <w:t>新院区计划选址太原市杏花岭区相关地块，总用地约</w:t>
      </w:r>
      <w:r>
        <w:rPr>
          <w:rFonts w:hint="eastAsia" w:ascii="宋体" w:hAnsi="宋体" w:eastAsia="宋体" w:cs="宋体"/>
          <w:sz w:val="32"/>
          <w:szCs w:val="32"/>
          <w:lang w:val="en-US" w:eastAsia="zh-CN"/>
        </w:rPr>
        <w:t>41</w:t>
      </w:r>
      <w:r>
        <w:rPr>
          <w:rFonts w:hint="eastAsia" w:ascii="宋体" w:hAnsi="宋体" w:eastAsia="宋体" w:cs="宋体"/>
          <w:sz w:val="32"/>
          <w:szCs w:val="32"/>
          <w:lang w:eastAsia="zh-CN"/>
        </w:rPr>
        <w:t>亩，预计总建筑面积约15.3万平方米，设病床900张，总投资额约16.08亿元（以批复为准）。项目采取新旧院区结合方案，用连廊和地下通道连接地块，利用北沙河绿带局部地下空间建质子放疗中心，分三期建设</w:t>
      </w:r>
      <w:r>
        <w:rPr>
          <w:rFonts w:hint="eastAsia" w:ascii="宋体" w:hAnsi="宋体" w:eastAsia="宋体" w:cs="宋体"/>
          <w:color w:val="auto"/>
          <w:sz w:val="32"/>
          <w:szCs w:val="32"/>
          <w:lang w:eastAsia="zh-CN"/>
        </w:rPr>
        <w:t>。</w:t>
      </w:r>
      <w:r>
        <w:rPr>
          <w:rFonts w:hint="eastAsia" w:ascii="宋体" w:hAnsi="宋体" w:eastAsia="宋体" w:cs="宋体"/>
          <w:sz w:val="32"/>
          <w:szCs w:val="40"/>
          <w:lang w:val="en-US" w:eastAsia="zh-CN"/>
        </w:rPr>
        <w:t>依据</w:t>
      </w:r>
      <w:r>
        <w:rPr>
          <w:rFonts w:hint="eastAsia" w:ascii="宋体" w:hAnsi="宋体" w:eastAsia="宋体" w:cs="宋体"/>
          <w:sz w:val="32"/>
          <w:szCs w:val="40"/>
        </w:rPr>
        <w:t>项目定位与边界条件</w:t>
      </w:r>
      <w:r>
        <w:rPr>
          <w:rFonts w:hint="eastAsia" w:ascii="宋体" w:hAnsi="宋体" w:eastAsia="宋体" w:cs="宋体"/>
          <w:sz w:val="32"/>
          <w:szCs w:val="40"/>
          <w:lang w:eastAsia="zh-CN"/>
        </w:rPr>
        <w:t>，</w:t>
      </w:r>
      <w:r>
        <w:rPr>
          <w:rFonts w:hint="eastAsia" w:ascii="宋体" w:hAnsi="宋体" w:eastAsia="宋体" w:cs="宋体"/>
          <w:sz w:val="32"/>
          <w:szCs w:val="40"/>
          <w:lang w:val="en-US" w:eastAsia="zh-CN"/>
        </w:rPr>
        <w:t>进行</w:t>
      </w:r>
      <w:r>
        <w:rPr>
          <w:rFonts w:hint="eastAsia" w:ascii="宋体" w:hAnsi="宋体" w:eastAsia="宋体" w:cs="宋体"/>
          <w:sz w:val="32"/>
          <w:szCs w:val="40"/>
        </w:rPr>
        <w:t>项目概况分析</w:t>
      </w:r>
      <w:r>
        <w:rPr>
          <w:rFonts w:hint="eastAsia" w:ascii="宋体" w:hAnsi="宋体" w:eastAsia="宋体" w:cs="宋体"/>
          <w:sz w:val="32"/>
          <w:szCs w:val="40"/>
          <w:lang w:eastAsia="zh-CN"/>
        </w:rPr>
        <w:t>，</w:t>
      </w:r>
      <w:r>
        <w:rPr>
          <w:rFonts w:hint="eastAsia" w:ascii="宋体" w:hAnsi="宋体" w:eastAsia="宋体" w:cs="宋体"/>
          <w:sz w:val="32"/>
          <w:szCs w:val="40"/>
          <w:lang w:val="en-US" w:eastAsia="zh-CN"/>
        </w:rPr>
        <w:t>完成</w:t>
      </w:r>
      <w:r>
        <w:rPr>
          <w:rFonts w:hint="eastAsia" w:ascii="宋体" w:hAnsi="宋体" w:eastAsia="宋体" w:cs="宋体"/>
          <w:sz w:val="32"/>
          <w:szCs w:val="40"/>
        </w:rPr>
        <w:t>总平面布置优化：分析建筑朝向、间距对自然采光通风的影响，通过日照模拟降低照明能耗等先进技术，实现空调系统能效比提升。</w:t>
      </w:r>
      <w:r>
        <w:rPr>
          <w:rFonts w:hint="eastAsia" w:ascii="宋体" w:hAnsi="宋体" w:eastAsia="宋体" w:cs="宋体"/>
          <w:sz w:val="32"/>
          <w:szCs w:val="40"/>
          <w:lang w:val="en-US" w:eastAsia="zh-CN"/>
        </w:rPr>
        <w:t>进行</w:t>
      </w:r>
      <w:r>
        <w:rPr>
          <w:rFonts w:hint="eastAsia" w:ascii="宋体" w:hAnsi="宋体" w:eastAsia="宋体" w:cs="宋体"/>
          <w:sz w:val="32"/>
          <w:szCs w:val="40"/>
        </w:rPr>
        <w:t>能效与消费分析</w:t>
      </w:r>
      <w:r>
        <w:rPr>
          <w:rFonts w:hint="eastAsia" w:ascii="宋体" w:hAnsi="宋体" w:eastAsia="宋体" w:cs="宋体"/>
          <w:sz w:val="32"/>
          <w:szCs w:val="40"/>
          <w:lang w:eastAsia="zh-CN"/>
        </w:rPr>
        <w:t>，</w:t>
      </w:r>
      <w:r>
        <w:rPr>
          <w:rFonts w:hint="eastAsia" w:ascii="宋体" w:hAnsi="宋体" w:eastAsia="宋体" w:cs="宋体"/>
          <w:sz w:val="32"/>
          <w:szCs w:val="40"/>
          <w:lang w:val="en-US" w:eastAsia="zh-CN"/>
        </w:rPr>
        <w:t>完成</w:t>
      </w:r>
      <w:r>
        <w:rPr>
          <w:rFonts w:hint="eastAsia" w:ascii="宋体" w:hAnsi="宋体" w:eastAsia="宋体" w:cs="宋体"/>
          <w:sz w:val="32"/>
          <w:szCs w:val="40"/>
        </w:rPr>
        <w:t>碳排放核算</w:t>
      </w:r>
      <w:r>
        <w:rPr>
          <w:rFonts w:hint="eastAsia" w:ascii="宋体" w:hAnsi="宋体" w:eastAsia="宋体" w:cs="宋体"/>
          <w:sz w:val="32"/>
          <w:szCs w:val="40"/>
          <w:lang w:eastAsia="zh-CN"/>
        </w:rPr>
        <w:t>。</w:t>
      </w:r>
      <w:r>
        <w:rPr>
          <w:rFonts w:hint="eastAsia" w:ascii="宋体" w:hAnsi="宋体" w:eastAsia="宋体" w:cs="宋体"/>
          <w:sz w:val="32"/>
          <w:szCs w:val="40"/>
        </w:rPr>
        <w:t>评估项目对区域碳达峰目标的贡献度，制定碳中和实施方案。</w:t>
      </w:r>
    </w:p>
    <w:p w14:paraId="717369A4">
      <w:pPr>
        <w:numPr>
          <w:ilvl w:val="0"/>
          <w:numId w:val="2"/>
        </w:numPr>
        <w:rPr>
          <w:rFonts w:hint="eastAsia" w:ascii="宋体" w:hAnsi="宋体" w:eastAsia="宋体" w:cs="宋体"/>
          <w:sz w:val="32"/>
          <w:szCs w:val="40"/>
        </w:rPr>
      </w:pPr>
      <w:r>
        <w:rPr>
          <w:rFonts w:hint="eastAsia" w:ascii="宋体" w:hAnsi="宋体" w:eastAsia="宋体" w:cs="宋体"/>
          <w:sz w:val="32"/>
          <w:szCs w:val="40"/>
        </w:rPr>
        <w:t>技术参数</w:t>
      </w:r>
    </w:p>
    <w:p w14:paraId="7E133B3C">
      <w:pPr>
        <w:rPr>
          <w:rFonts w:hint="eastAsia" w:ascii="宋体" w:hAnsi="宋体" w:eastAsia="宋体" w:cs="宋体"/>
          <w:sz w:val="32"/>
          <w:szCs w:val="32"/>
          <w:u w:val="none"/>
          <w:lang w:val="en-US" w:eastAsia="zh-CN"/>
        </w:rPr>
      </w:pPr>
      <w:r>
        <w:rPr>
          <w:rFonts w:hint="eastAsia" w:ascii="宋体" w:hAnsi="宋体" w:eastAsia="宋体" w:cs="宋体"/>
          <w:sz w:val="32"/>
          <w:szCs w:val="40"/>
          <w:lang w:val="en-US" w:eastAsia="zh-CN"/>
        </w:rPr>
        <w:t>进行</w:t>
      </w:r>
      <w:r>
        <w:rPr>
          <w:rFonts w:hint="eastAsia" w:ascii="宋体" w:hAnsi="宋体" w:eastAsia="宋体" w:cs="宋体"/>
          <w:sz w:val="32"/>
          <w:szCs w:val="40"/>
        </w:rPr>
        <w:t>电力</w:t>
      </w:r>
      <w:r>
        <w:rPr>
          <w:rFonts w:hint="eastAsia" w:ascii="宋体" w:hAnsi="宋体" w:eastAsia="宋体" w:cs="宋体"/>
          <w:sz w:val="32"/>
          <w:szCs w:val="40"/>
          <w:lang w:eastAsia="zh-CN"/>
        </w:rPr>
        <w:t>、</w:t>
      </w:r>
      <w:r>
        <w:rPr>
          <w:rFonts w:hint="eastAsia" w:ascii="宋体" w:hAnsi="宋体" w:eastAsia="宋体" w:cs="宋体"/>
          <w:sz w:val="32"/>
          <w:szCs w:val="40"/>
        </w:rPr>
        <w:t>天然气</w:t>
      </w:r>
      <w:r>
        <w:rPr>
          <w:rFonts w:hint="eastAsia" w:ascii="宋体" w:hAnsi="宋体" w:eastAsia="宋体" w:cs="宋体"/>
          <w:sz w:val="32"/>
          <w:szCs w:val="40"/>
          <w:lang w:eastAsia="zh-CN"/>
        </w:rPr>
        <w:t>、</w:t>
      </w:r>
      <w:r>
        <w:rPr>
          <w:rFonts w:hint="eastAsia" w:ascii="宋体" w:hAnsi="宋体" w:eastAsia="宋体" w:cs="宋体"/>
          <w:sz w:val="32"/>
          <w:szCs w:val="40"/>
        </w:rPr>
        <w:t>煤炭</w:t>
      </w:r>
      <w:r>
        <w:rPr>
          <w:rFonts w:hint="eastAsia" w:ascii="宋体" w:hAnsi="宋体" w:eastAsia="宋体" w:cs="宋体"/>
          <w:sz w:val="32"/>
          <w:szCs w:val="40"/>
          <w:lang w:val="en-US" w:eastAsia="zh-CN"/>
        </w:rPr>
        <w:t>等</w:t>
      </w:r>
      <w:r>
        <w:rPr>
          <w:rFonts w:hint="eastAsia" w:ascii="宋体" w:hAnsi="宋体" w:eastAsia="宋体" w:cs="宋体"/>
          <w:sz w:val="32"/>
          <w:szCs w:val="40"/>
        </w:rPr>
        <w:t>能源消费量核算</w:t>
      </w:r>
      <w:r>
        <w:rPr>
          <w:rFonts w:hint="eastAsia" w:ascii="宋体" w:hAnsi="宋体" w:eastAsia="宋体" w:cs="宋体"/>
          <w:sz w:val="32"/>
          <w:szCs w:val="40"/>
          <w:lang w:eastAsia="zh-CN"/>
        </w:rPr>
        <w:t>，</w:t>
      </w:r>
      <w:r>
        <w:rPr>
          <w:rFonts w:hint="eastAsia" w:ascii="宋体" w:hAnsi="宋体" w:eastAsia="宋体" w:cs="宋体"/>
          <w:sz w:val="32"/>
          <w:szCs w:val="40"/>
          <w:lang w:val="en-US" w:eastAsia="zh-CN"/>
        </w:rPr>
        <w:t>完成</w:t>
      </w:r>
      <w:r>
        <w:rPr>
          <w:rFonts w:hint="eastAsia" w:ascii="宋体" w:hAnsi="宋体" w:eastAsia="宋体" w:cs="宋体"/>
          <w:sz w:val="32"/>
          <w:szCs w:val="40"/>
        </w:rPr>
        <w:t>能效指标计算</w:t>
      </w:r>
      <w:r>
        <w:rPr>
          <w:rFonts w:hint="eastAsia" w:ascii="宋体" w:hAnsi="宋体" w:eastAsia="宋体" w:cs="宋体"/>
          <w:sz w:val="32"/>
          <w:szCs w:val="40"/>
          <w:lang w:eastAsia="zh-CN"/>
        </w:rPr>
        <w:t>，</w:t>
      </w:r>
      <w:r>
        <w:rPr>
          <w:rFonts w:hint="eastAsia" w:ascii="宋体" w:hAnsi="宋体" w:eastAsia="宋体" w:cs="宋体"/>
          <w:sz w:val="32"/>
          <w:szCs w:val="40"/>
        </w:rPr>
        <w:t>编制规范报告</w:t>
      </w:r>
      <w:r>
        <w:rPr>
          <w:rFonts w:hint="eastAsia" w:ascii="宋体" w:hAnsi="宋体" w:eastAsia="宋体" w:cs="宋体"/>
          <w:sz w:val="32"/>
          <w:szCs w:val="40"/>
          <w:lang w:eastAsia="zh-CN"/>
        </w:rPr>
        <w:t>。</w:t>
      </w:r>
      <w:r>
        <w:rPr>
          <w:rFonts w:hint="eastAsia" w:ascii="宋体" w:hAnsi="宋体" w:eastAsia="宋体" w:cs="宋体"/>
          <w:sz w:val="32"/>
          <w:szCs w:val="40"/>
        </w:rPr>
        <w:t>提供</w:t>
      </w:r>
      <w:r>
        <w:rPr>
          <w:rFonts w:hint="eastAsia" w:ascii="宋体" w:hAnsi="宋体" w:eastAsia="宋体" w:cs="宋体"/>
          <w:sz w:val="32"/>
          <w:szCs w:val="40"/>
          <w:lang w:val="en-US" w:eastAsia="zh-CN"/>
        </w:rPr>
        <w:t>节能</w:t>
      </w:r>
      <w:r>
        <w:rPr>
          <w:rFonts w:hint="eastAsia" w:ascii="宋体" w:hAnsi="宋体" w:eastAsia="宋体" w:cs="宋体"/>
          <w:sz w:val="32"/>
          <w:szCs w:val="40"/>
        </w:rPr>
        <w:t>模型能效模拟文件、能效检测报告等附件。</w:t>
      </w:r>
    </w:p>
    <w:p w14:paraId="2256B31B">
      <w:pPr>
        <w:numPr>
          <w:ilvl w:val="0"/>
          <w:numId w:val="0"/>
        </w:numPr>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七、服务内容及技术参数中允许负偏离条数： 0  条（除*号条款外）</w:t>
      </w:r>
    </w:p>
    <w:p w14:paraId="7AFEE23C">
      <w:pPr>
        <w:numPr>
          <w:ilvl w:val="0"/>
          <w:numId w:val="0"/>
        </w:numPr>
        <w:rPr>
          <w:rFonts w:hint="default"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八、其他要求：无</w:t>
      </w:r>
    </w:p>
    <w:p w14:paraId="7F1CF71C">
      <w:pPr>
        <w:numPr>
          <w:ilvl w:val="0"/>
          <w:numId w:val="0"/>
        </w:numPr>
        <w:jc w:val="both"/>
        <w:rPr>
          <w:rFonts w:hint="default"/>
          <w:sz w:val="28"/>
          <w:szCs w:val="28"/>
          <w:lang w:val="en-US" w:eastAsia="zh-CN"/>
        </w:rPr>
      </w:pPr>
    </w:p>
    <w:p w14:paraId="0785953B">
      <w:pPr>
        <w:numPr>
          <w:ilvl w:val="0"/>
          <w:numId w:val="0"/>
        </w:numPr>
        <w:jc w:val="center"/>
        <w:rPr>
          <w:rFonts w:hint="default"/>
          <w:sz w:val="32"/>
          <w:szCs w:val="32"/>
          <w:lang w:val="en-US" w:eastAsia="zh-CN"/>
        </w:rPr>
      </w:pPr>
      <w:r>
        <w:rPr>
          <w:rFonts w:hint="eastAsia"/>
          <w:sz w:val="28"/>
          <w:szCs w:val="28"/>
          <w:lang w:val="en-US" w:eastAsia="zh-CN"/>
        </w:rPr>
        <w:t xml:space="preserve">              </w:t>
      </w:r>
      <w:r>
        <w:rPr>
          <w:rFonts w:hint="eastAsia"/>
          <w:sz w:val="32"/>
          <w:szCs w:val="32"/>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803B4"/>
    <w:multiLevelType w:val="singleLevel"/>
    <w:tmpl w:val="CE0803B4"/>
    <w:lvl w:ilvl="0" w:tentative="0">
      <w:start w:val="2"/>
      <w:numFmt w:val="decimal"/>
      <w:suff w:val="space"/>
      <w:lvlText w:val="%1."/>
      <w:lvlJc w:val="left"/>
    </w:lvl>
  </w:abstractNum>
  <w:abstractNum w:abstractNumId="1">
    <w:nsid w:val="53D81C06"/>
    <w:multiLevelType w:val="singleLevel"/>
    <w:tmpl w:val="53D81C06"/>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5983"/>
    <w:rsid w:val="035C6255"/>
    <w:rsid w:val="08D37B80"/>
    <w:rsid w:val="0BE63A0B"/>
    <w:rsid w:val="175A3BA9"/>
    <w:rsid w:val="1B96154E"/>
    <w:rsid w:val="1E095106"/>
    <w:rsid w:val="240E223F"/>
    <w:rsid w:val="2DB544A0"/>
    <w:rsid w:val="399A77D7"/>
    <w:rsid w:val="3AFC1B06"/>
    <w:rsid w:val="3E660A6A"/>
    <w:rsid w:val="493667BF"/>
    <w:rsid w:val="53E014BA"/>
    <w:rsid w:val="5ECB15A2"/>
    <w:rsid w:val="65051C7D"/>
    <w:rsid w:val="66B862A4"/>
    <w:rsid w:val="67EB7A17"/>
    <w:rsid w:val="6BC0129A"/>
    <w:rsid w:val="6FDE7E71"/>
    <w:rsid w:val="7AA008BF"/>
    <w:rsid w:val="7B1D1388"/>
    <w:rsid w:val="7D9C07D1"/>
    <w:rsid w:val="7F81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873</Words>
  <Characters>921</Characters>
  <Lines>0</Lines>
  <Paragraphs>0</Paragraphs>
  <TotalTime>0</TotalTime>
  <ScaleCrop>false</ScaleCrop>
  <LinksUpToDate>false</LinksUpToDate>
  <CharactersWithSpaces>969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2025-06-10T02:05:00Z</dcterms:created>
  <dc:creator>Administrator</dc:creator>
  <cp:lastModifiedBy>牛锦柔</cp:lastModifiedBy>
  <cp:lastPrinted>2025-09-17T09:54:00Z</cp:lastPrinted>
  <dcterms:modified xsi:type="dcterms:W3CDTF">2025-09-18T01:59:36Z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eyJoZGlkIjoiYjkwM2U3YmIzMWNmZjEyMDAwNmY4NzBjODcwN2IxNWYiLCJ1c2VySWQiOiI4NjA2NDEyODQifQ==</vt:lpwstr>
  </property>
  <property fmtid="{D5CDD505-2E9C-101B-9397-08002B2CF9AE}" pid="4" name="ICV">
    <vt:lpwstr>565FF265CD4E422CA85E0C6CE60886FF_13</vt:lpwstr>
  </property>
</Properties>
</file>