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C62B"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附件3采购需求</w:t>
      </w:r>
    </w:p>
    <w:p w14:paraId="01B29F7E">
      <w:pPr>
        <w:tabs>
          <w:tab w:val="left" w:pos="224"/>
        </w:tabs>
        <w:jc w:val="left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</w:p>
    <w:p w14:paraId="57A8A523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2025年“两节”职工节日慰问品采购需求信息</w:t>
      </w:r>
    </w:p>
    <w:tbl>
      <w:tblPr>
        <w:tblStyle w:val="5"/>
        <w:tblpPr w:leftFromText="180" w:rightFromText="180" w:vertAnchor="text" w:horzAnchor="page" w:tblpX="1887" w:tblpY="228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17"/>
        <w:gridCol w:w="1844"/>
        <w:gridCol w:w="3868"/>
      </w:tblGrid>
      <w:tr w14:paraId="3D15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noWrap w:val="0"/>
            <w:vAlign w:val="top"/>
          </w:tcPr>
          <w:p w14:paraId="56FA76B5">
            <w:pPr>
              <w:jc w:val="lef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序号</w:t>
            </w:r>
          </w:p>
        </w:tc>
        <w:tc>
          <w:tcPr>
            <w:tcW w:w="1317" w:type="dxa"/>
            <w:noWrap w:val="0"/>
            <w:vAlign w:val="top"/>
          </w:tcPr>
          <w:p w14:paraId="060A164F">
            <w:pPr>
              <w:jc w:val="lef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品  名</w:t>
            </w:r>
          </w:p>
        </w:tc>
        <w:tc>
          <w:tcPr>
            <w:tcW w:w="1844" w:type="dxa"/>
            <w:noWrap w:val="0"/>
            <w:vAlign w:val="top"/>
          </w:tcPr>
          <w:p w14:paraId="6B14F8B5">
            <w:pPr>
              <w:ind w:firstLine="301" w:firstLineChars="100"/>
              <w:jc w:val="lef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规   格</w:t>
            </w:r>
          </w:p>
        </w:tc>
        <w:tc>
          <w:tcPr>
            <w:tcW w:w="3868" w:type="dxa"/>
            <w:noWrap w:val="0"/>
            <w:vAlign w:val="top"/>
          </w:tcPr>
          <w:p w14:paraId="12A98548">
            <w:pPr>
              <w:ind w:firstLine="1205" w:firstLineChars="400"/>
              <w:jc w:val="lef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备       注</w:t>
            </w:r>
          </w:p>
        </w:tc>
      </w:tr>
      <w:tr w14:paraId="7369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4" w:hRule="atLeast"/>
        </w:trPr>
        <w:tc>
          <w:tcPr>
            <w:tcW w:w="891" w:type="dxa"/>
            <w:noWrap w:val="0"/>
            <w:vAlign w:val="top"/>
          </w:tcPr>
          <w:p w14:paraId="42553608">
            <w:pPr>
              <w:jc w:val="left"/>
              <w:rPr>
                <w:rFonts w:hint="eastAsia" w:ascii="华文仿宋" w:hAnsi="华文仿宋" w:eastAsia="华文仿宋"/>
                <w:b/>
                <w:bCs/>
                <w:sz w:val="32"/>
                <w:szCs w:val="32"/>
                <w:lang w:val="en-US" w:eastAsia="zh-CN"/>
              </w:rPr>
            </w:pPr>
          </w:p>
          <w:p w14:paraId="2755F890"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中国医学科学院肿瘤医院（山西省肿瘤医院）2025年“两节”职工节日慰问品</w:t>
            </w:r>
          </w:p>
        </w:tc>
        <w:tc>
          <w:tcPr>
            <w:tcW w:w="1317" w:type="dxa"/>
            <w:noWrap w:val="0"/>
            <w:vAlign w:val="top"/>
          </w:tcPr>
          <w:p w14:paraId="45CF6208">
            <w:pPr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  <w:p w14:paraId="7422D53B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0B41038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46DE806B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27FB35EC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08ECE594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0F2DE83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Times New Roman"/>
                <w:b w:val="0"/>
                <w:bCs w:val="0"/>
                <w:kern w:val="0"/>
                <w:sz w:val="30"/>
                <w:szCs w:val="30"/>
              </w:rPr>
              <w:t>食用油</w:t>
            </w:r>
          </w:p>
        </w:tc>
        <w:tc>
          <w:tcPr>
            <w:tcW w:w="1844" w:type="dxa"/>
            <w:noWrap w:val="0"/>
            <w:vAlign w:val="top"/>
          </w:tcPr>
          <w:p w14:paraId="32EB38EF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08069DA8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3E01F219">
            <w:pPr>
              <w:ind w:firstLine="1500" w:firstLineChars="500"/>
              <w:jc w:val="left"/>
              <w:rPr>
                <w:rFonts w:hint="eastAsia" w:ascii="宋体" w:hAnsi="宋体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 w14:paraId="40F682CB">
            <w:pPr>
              <w:ind w:firstLine="1500" w:firstLineChars="500"/>
              <w:jc w:val="left"/>
              <w:rPr>
                <w:rFonts w:hint="eastAsia" w:ascii="宋体" w:hAnsi="宋体" w:eastAsia="宋体"/>
                <w:kern w:val="0"/>
                <w:sz w:val="30"/>
                <w:szCs w:val="30"/>
                <w:lang w:val="en-US" w:eastAsia="zh-CN"/>
              </w:rPr>
            </w:pPr>
          </w:p>
          <w:p w14:paraId="7E3CB6B0">
            <w:pPr>
              <w:ind w:firstLine="1500" w:firstLineChars="500"/>
              <w:jc w:val="left"/>
              <w:rPr>
                <w:rFonts w:hint="eastAsia" w:ascii="宋体" w:hAnsi="宋体" w:eastAsia="宋体"/>
                <w:kern w:val="0"/>
                <w:sz w:val="30"/>
                <w:szCs w:val="30"/>
                <w:lang w:val="en-US" w:eastAsia="zh-CN"/>
              </w:rPr>
            </w:pPr>
          </w:p>
          <w:p w14:paraId="02D5DDBB">
            <w:pPr>
              <w:ind w:firstLine="300" w:firstLineChars="100"/>
              <w:jc w:val="left"/>
              <w:rPr>
                <w:rFonts w:hint="eastAsia" w:ascii="宋体" w:hAnsi="宋体" w:eastAsia="Times New Roman"/>
                <w:kern w:val="0"/>
                <w:sz w:val="30"/>
                <w:szCs w:val="30"/>
              </w:rPr>
            </w:pPr>
          </w:p>
          <w:p w14:paraId="1B5C4E91">
            <w:pPr>
              <w:jc w:val="left"/>
              <w:rPr>
                <w:rFonts w:hint="eastAsia" w:ascii="宋体" w:hAnsi="宋体" w:eastAsia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30"/>
                <w:szCs w:val="30"/>
              </w:rPr>
              <w:t>食用油（花生油）：5L/桶，1桶/人</w:t>
            </w:r>
          </w:p>
          <w:p w14:paraId="4D735C46">
            <w:pPr>
              <w:jc w:val="left"/>
              <w:rPr>
                <w:rFonts w:hint="default" w:ascii="华文仿宋" w:hAnsi="华文仿宋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结算价</w:t>
            </w:r>
            <w:r>
              <w:rPr>
                <w:rFonts w:hint="eastAsia" w:ascii="宋体" w:hAnsi="宋体" w:eastAsia="Times New Roman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/>
                <w:kern w:val="0"/>
                <w:sz w:val="30"/>
                <w:szCs w:val="30"/>
                <w:lang w:val="en-US" w:eastAsia="zh-CN"/>
              </w:rPr>
              <w:t>150/人</w:t>
            </w:r>
          </w:p>
          <w:p w14:paraId="2FEB407E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399FA8CA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7D856F8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4B128E57"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4E42493A">
            <w:pPr>
              <w:jc w:val="left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top"/>
          </w:tcPr>
          <w:p w14:paraId="6E0F28F1">
            <w:pPr>
              <w:pStyle w:val="3"/>
              <w:ind w:firstLine="600" w:firstLineChars="200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5998F534">
            <w:pPr>
              <w:pStyle w:val="3"/>
              <w:ind w:firstLine="600" w:firstLineChars="200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76EE3611">
            <w:pPr>
              <w:pStyle w:val="3"/>
              <w:ind w:firstLine="600" w:firstLineChars="200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7801F6F7">
            <w:pPr>
              <w:pStyle w:val="3"/>
              <w:ind w:firstLine="600" w:firstLineChars="200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37AC4EAE">
            <w:pPr>
              <w:pStyle w:val="3"/>
              <w:ind w:firstLine="600" w:firstLineChars="200"/>
              <w:jc w:val="left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食用油：符合国家食用油各项执行标准，包括标准号、卫生标准、产品质量标准、标识要求等，非转基因食用油。</w:t>
            </w:r>
          </w:p>
          <w:p w14:paraId="30B1741F">
            <w:p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0DE8CB03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11BD7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0E37B6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AC6CCA8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9A320AC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6425594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66CC34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5386A9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F8E468">
      <w:pPr>
        <w:jc w:val="both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 w14:paraId="3276779B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994D635">
      <w:pPr>
        <w:bidi w:val="0"/>
        <w:rPr>
          <w:rFonts w:hint="eastAsia"/>
          <w:lang w:val="en-US" w:eastAsia="zh-CN"/>
        </w:rPr>
      </w:pPr>
    </w:p>
    <w:p w14:paraId="7AD37574">
      <w:pPr>
        <w:bidi w:val="0"/>
        <w:rPr>
          <w:rFonts w:hint="eastAsia"/>
          <w:lang w:val="en-US" w:eastAsia="zh-CN"/>
        </w:rPr>
      </w:pPr>
    </w:p>
    <w:p w14:paraId="2C5D3C91">
      <w:pPr>
        <w:bidi w:val="0"/>
        <w:rPr>
          <w:rFonts w:hint="eastAsia"/>
          <w:lang w:val="en-US" w:eastAsia="zh-CN"/>
        </w:rPr>
      </w:pPr>
    </w:p>
    <w:p w14:paraId="2FC231B3">
      <w:pPr>
        <w:bidi w:val="0"/>
        <w:rPr>
          <w:rFonts w:hint="eastAsia"/>
          <w:lang w:val="en-US" w:eastAsia="zh-CN"/>
        </w:rPr>
      </w:pPr>
    </w:p>
    <w:p w14:paraId="48B8ED93">
      <w:pPr>
        <w:bidi w:val="0"/>
        <w:rPr>
          <w:rFonts w:hint="eastAsia"/>
          <w:lang w:val="en-US" w:eastAsia="zh-CN"/>
        </w:rPr>
      </w:pPr>
    </w:p>
    <w:p w14:paraId="0E48768C">
      <w:pPr>
        <w:bidi w:val="0"/>
        <w:rPr>
          <w:rFonts w:hint="eastAsia"/>
          <w:lang w:val="en-US" w:eastAsia="zh-CN"/>
        </w:rPr>
      </w:pPr>
    </w:p>
    <w:p w14:paraId="421E8522">
      <w:pPr>
        <w:bidi w:val="0"/>
        <w:rPr>
          <w:rFonts w:hint="eastAsia"/>
          <w:lang w:val="en-US" w:eastAsia="zh-CN"/>
        </w:rPr>
      </w:pPr>
    </w:p>
    <w:p w14:paraId="6C8D7EB1">
      <w:pPr>
        <w:bidi w:val="0"/>
        <w:rPr>
          <w:rFonts w:hint="eastAsia"/>
          <w:lang w:val="en-US" w:eastAsia="zh-CN"/>
        </w:rPr>
      </w:pPr>
    </w:p>
    <w:p w14:paraId="476644AA">
      <w:pPr>
        <w:bidi w:val="0"/>
        <w:rPr>
          <w:rFonts w:hint="eastAsia"/>
          <w:lang w:val="en-US" w:eastAsia="zh-CN"/>
        </w:rPr>
      </w:pPr>
    </w:p>
    <w:p w14:paraId="2B06E560">
      <w:pPr>
        <w:bidi w:val="0"/>
        <w:rPr>
          <w:rFonts w:hint="eastAsia"/>
          <w:lang w:val="en-US" w:eastAsia="zh-CN"/>
        </w:rPr>
      </w:pPr>
    </w:p>
    <w:p w14:paraId="3AA825E2">
      <w:pPr>
        <w:bidi w:val="0"/>
        <w:rPr>
          <w:rFonts w:hint="eastAsia"/>
          <w:lang w:val="en-US" w:eastAsia="zh-CN"/>
        </w:rPr>
      </w:pPr>
    </w:p>
    <w:p w14:paraId="59986A34">
      <w:pPr>
        <w:bidi w:val="0"/>
        <w:rPr>
          <w:rFonts w:hint="eastAsia"/>
          <w:lang w:val="en-US" w:eastAsia="zh-CN"/>
        </w:rPr>
      </w:pPr>
    </w:p>
    <w:p w14:paraId="6B19B847">
      <w:pPr>
        <w:bidi w:val="0"/>
        <w:rPr>
          <w:rFonts w:hint="eastAsia"/>
          <w:lang w:val="en-US" w:eastAsia="zh-CN"/>
        </w:rPr>
      </w:pPr>
    </w:p>
    <w:p w14:paraId="201070D1">
      <w:pPr>
        <w:bidi w:val="0"/>
        <w:rPr>
          <w:rFonts w:hint="eastAsia"/>
          <w:lang w:val="en-US" w:eastAsia="zh-CN"/>
        </w:rPr>
      </w:pPr>
    </w:p>
    <w:p w14:paraId="57114B17">
      <w:pPr>
        <w:bidi w:val="0"/>
        <w:rPr>
          <w:rFonts w:hint="eastAsia"/>
          <w:lang w:val="en-US" w:eastAsia="zh-CN"/>
        </w:rPr>
      </w:pPr>
    </w:p>
    <w:p w14:paraId="1A28876D">
      <w:pPr>
        <w:bidi w:val="0"/>
        <w:rPr>
          <w:rFonts w:hint="eastAsia"/>
          <w:lang w:val="en-US" w:eastAsia="zh-CN"/>
        </w:rPr>
      </w:pPr>
    </w:p>
    <w:p w14:paraId="002C0723">
      <w:pPr>
        <w:bidi w:val="0"/>
        <w:rPr>
          <w:rFonts w:hint="eastAsia"/>
          <w:lang w:val="en-US" w:eastAsia="zh-CN"/>
        </w:rPr>
      </w:pPr>
    </w:p>
    <w:p w14:paraId="3247A21F">
      <w:pPr>
        <w:bidi w:val="0"/>
        <w:rPr>
          <w:rFonts w:hint="eastAsia"/>
          <w:lang w:val="en-US" w:eastAsia="zh-CN"/>
        </w:rPr>
      </w:pPr>
    </w:p>
    <w:p w14:paraId="43DA24F5">
      <w:pPr>
        <w:tabs>
          <w:tab w:val="left" w:pos="91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</w:t>
      </w:r>
    </w:p>
    <w:p w14:paraId="4BE2894C">
      <w:pPr>
        <w:tabs>
          <w:tab w:val="left" w:pos="936"/>
        </w:tabs>
        <w:bidi w:val="0"/>
        <w:jc w:val="left"/>
        <w:rPr>
          <w:rFonts w:hint="default"/>
          <w:lang w:val="en-US" w:eastAsia="zh-CN"/>
        </w:rPr>
      </w:pPr>
    </w:p>
    <w:p w14:paraId="1DECA5DA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A1FB7"/>
    <w:rsid w:val="02D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cs="Times New Roman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2025-10-10T08:23:00Z</dcterms:created>
  <dc:creator>来过</dc:creator>
  <cp:lastModifiedBy>来过</cp:lastModifiedBy>
  <dcterms:modified xsi:type="dcterms:W3CDTF">2025-10-10T08:28:47Z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EAA48845CD5347DCBA0F8E4C3DE931E5_11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