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29AAC">
      <w:pPr>
        <w:pStyle w:val="2"/>
        <w:numPr>
          <w:ilvl w:val="0"/>
          <w:numId w:val="0"/>
        </w:numPr>
        <w:bidi w:val="0"/>
        <w:ind w:leftChars="0"/>
        <w:jc w:val="center"/>
        <w:rPr>
          <w:rFonts w:hint="eastAsia"/>
          <w:b/>
          <w:bCs w:val="0"/>
          <w:lang w:val="en-US" w:eastAsia="zh-CN"/>
        </w:rPr>
      </w:pPr>
      <w:r>
        <w:rPr>
          <w:rFonts w:hint="eastAsia"/>
          <w:b/>
          <w:bCs w:val="0"/>
          <w:lang w:val="en-US" w:eastAsia="zh-CN"/>
        </w:rPr>
        <w:t>采购需求</w:t>
      </w:r>
    </w:p>
    <w:p w14:paraId="07636C34">
      <w:pPr>
        <w:ind w:left="0" w:leftChars="0" w:firstLine="0" w:firstLineChars="0"/>
        <w:rPr>
          <w:rFonts w:hint="default"/>
          <w:lang w:val="en-US" w:eastAsia="zh-CN"/>
        </w:rPr>
      </w:pPr>
      <w:r>
        <w:rPr>
          <w:rFonts w:hint="default"/>
          <w:lang w:val="en-US" w:eastAsia="zh-CN"/>
        </w:rPr>
        <w:t>山西省肿瘤医院</w:t>
      </w:r>
      <w:r>
        <w:rPr>
          <w:rFonts w:hint="eastAsia"/>
          <w:lang w:val="en-US" w:eastAsia="zh-CN"/>
        </w:rPr>
        <w:t>医保移动支付系统</w:t>
      </w:r>
    </w:p>
    <w:p w14:paraId="1A73CFE1">
      <w:pPr>
        <w:pStyle w:val="2"/>
        <w:bidi w:val="0"/>
        <w:rPr>
          <w:rFonts w:hint="default"/>
          <w:lang w:val="en-US" w:eastAsia="zh-CN"/>
        </w:rPr>
      </w:pPr>
      <w:r>
        <w:rPr>
          <w:rFonts w:hint="eastAsia"/>
          <w:lang w:val="en-US" w:eastAsia="zh-CN"/>
        </w:rPr>
        <w:t>项目概况</w:t>
      </w:r>
    </w:p>
    <w:p w14:paraId="50FD37D2">
      <w:pPr>
        <w:bidi w:val="0"/>
        <w:rPr>
          <w:rFonts w:hint="eastAsia"/>
          <w:lang w:val="en-US" w:eastAsia="zh-CN"/>
        </w:rPr>
      </w:pPr>
      <w:r>
        <w:rPr>
          <w:rFonts w:hint="eastAsia"/>
          <w:lang w:val="en-US" w:eastAsia="zh-CN"/>
        </w:rPr>
        <w:t>按照2021年，国家医疗保障局网络安全和信息化领导小组办公室公布推出了《医疗保障信息平台医保移动支付技术规范（V2.0）》的建设方案，为医保移动支付业务场景设立了具体的技术标准和规范。</w:t>
      </w:r>
    </w:p>
    <w:p w14:paraId="341B44A4">
      <w:pPr>
        <w:bidi w:val="0"/>
        <w:rPr>
          <w:rFonts w:hint="eastAsia"/>
          <w:lang w:val="en-US" w:eastAsia="zh-CN"/>
        </w:rPr>
      </w:pPr>
      <w:r>
        <w:rPr>
          <w:rFonts w:hint="eastAsia"/>
          <w:lang w:val="en-US" w:eastAsia="zh-CN"/>
        </w:rPr>
        <w:t>2022年，国家医疗保障局发布《国家医疗保障局关于进一步深化推进医保信息化标准化工作的通知》(医保发〔2022〕8号),其中要求：积极与有关部门沟通协调，不断推进药品和医用耗材招采、全流程线上医保移动支付等投入应用，充分发挥协议管理作用，督促各定点医院、定点零售药店加快系统接口升级改造，实现新平台在就医购药全流程的深度应用。加强医保电子凭证、医保服务平台网厅、APP和小程序等推广应用，持续在应用中优化平台功能，打造可用、好用、实用的医保信息系统。</w:t>
      </w:r>
    </w:p>
    <w:p w14:paraId="07528C21">
      <w:pPr>
        <w:bidi w:val="0"/>
        <w:rPr>
          <w:rFonts w:hint="eastAsia"/>
          <w:lang w:val="en-US" w:eastAsia="zh-CN"/>
        </w:rPr>
      </w:pPr>
      <w:r>
        <w:rPr>
          <w:rFonts w:hint="eastAsia"/>
          <w:lang w:val="en-US" w:eastAsia="zh-CN"/>
        </w:rPr>
        <w:t>同年，山西省医疗保障局他也发布《山西省医疗保障局关于全面提升医保电子凭证应用及推进医保移动支付试点工作的通知》，通知要求：积极开展医保移动支付应用试点。</w:t>
      </w:r>
    </w:p>
    <w:p w14:paraId="43F2EEDA">
      <w:pPr>
        <w:pStyle w:val="2"/>
        <w:bidi w:val="0"/>
        <w:rPr>
          <w:rFonts w:hint="default"/>
          <w:lang w:val="en-US" w:eastAsia="zh-CN"/>
        </w:rPr>
      </w:pPr>
      <w:r>
        <w:rPr>
          <w:rFonts w:hint="eastAsia"/>
          <w:lang w:val="en-US" w:eastAsia="zh-CN"/>
        </w:rPr>
        <w:t>建设目标</w:t>
      </w:r>
    </w:p>
    <w:p w14:paraId="05405F1C">
      <w:pPr>
        <w:rPr>
          <w:rFonts w:hint="default"/>
          <w:lang w:val="en-US" w:eastAsia="zh-CN"/>
        </w:rPr>
      </w:pPr>
      <w:r>
        <w:rPr>
          <w:rFonts w:hint="default"/>
          <w:lang w:val="en-US" w:eastAsia="zh-CN"/>
        </w:rPr>
        <w:t>医保移动支付系统的建设通过和院内HIS系统、医保移动支付中</w:t>
      </w:r>
      <w:r>
        <w:rPr>
          <w:rFonts w:hint="eastAsia"/>
          <w:lang w:val="en-US" w:eastAsia="zh-CN"/>
        </w:rPr>
        <w:t>台、医保核心系统</w:t>
      </w:r>
      <w:r>
        <w:rPr>
          <w:rFonts w:hint="default"/>
          <w:lang w:val="en-US" w:eastAsia="zh-CN"/>
        </w:rPr>
        <w:t>的</w:t>
      </w:r>
      <w:r>
        <w:rPr>
          <w:rFonts w:hint="eastAsia"/>
          <w:lang w:val="en-US" w:eastAsia="zh-CN"/>
        </w:rPr>
        <w:t>对接</w:t>
      </w:r>
      <w:r>
        <w:rPr>
          <w:rFonts w:hint="default"/>
          <w:lang w:val="en-US" w:eastAsia="zh-CN"/>
        </w:rPr>
        <w:t>，在微信公众号、</w:t>
      </w:r>
      <w:r>
        <w:rPr>
          <w:rFonts w:hint="eastAsia"/>
          <w:lang w:val="en-US" w:eastAsia="zh-CN"/>
        </w:rPr>
        <w:t>微信小程序、</w:t>
      </w:r>
      <w:r>
        <w:rPr>
          <w:rFonts w:hint="default"/>
          <w:lang w:val="en-US" w:eastAsia="zh-CN"/>
        </w:rPr>
        <w:t>支付宝小程序等渠道场景下实现用户的医保移动支付业务应用，从而完成医保移动支付各业务场景的政策要求。</w:t>
      </w:r>
      <w:bookmarkStart w:id="0" w:name="_GoBack"/>
      <w:bookmarkEnd w:id="0"/>
    </w:p>
    <w:p w14:paraId="3ADA072A">
      <w:pPr>
        <w:pStyle w:val="2"/>
        <w:bidi w:val="0"/>
        <w:rPr>
          <w:rFonts w:hint="default"/>
          <w:lang w:val="en-US" w:eastAsia="zh-CN"/>
        </w:rPr>
      </w:pPr>
      <w:r>
        <w:rPr>
          <w:rFonts w:hint="eastAsia"/>
          <w:lang w:val="en-US" w:eastAsia="zh-CN"/>
        </w:rPr>
        <w:t>项目周期</w:t>
      </w:r>
    </w:p>
    <w:p w14:paraId="4FC54EDE">
      <w:pPr>
        <w:rPr>
          <w:rFonts w:hint="default"/>
          <w:lang w:val="en-US" w:eastAsia="zh-CN"/>
        </w:rPr>
      </w:pPr>
      <w:r>
        <w:rPr>
          <w:rFonts w:hint="eastAsia"/>
          <w:lang w:val="en-US" w:eastAsia="zh-CN"/>
        </w:rPr>
        <w:t>自合同签订日60个日历日完成。</w:t>
      </w:r>
    </w:p>
    <w:p w14:paraId="02B73B3F">
      <w:pPr>
        <w:pStyle w:val="2"/>
        <w:bidi w:val="0"/>
        <w:rPr>
          <w:rFonts w:hint="default"/>
          <w:lang w:val="en-US" w:eastAsia="zh-CN"/>
        </w:rPr>
      </w:pPr>
      <w:r>
        <w:rPr>
          <w:rFonts w:hint="eastAsia"/>
          <w:lang w:val="en-US" w:eastAsia="zh-CN"/>
        </w:rPr>
        <w:t>采购内容</w:t>
      </w:r>
    </w:p>
    <w:tbl>
      <w:tblPr>
        <w:tblStyle w:val="12"/>
        <w:tblpPr w:leftFromText="180" w:rightFromText="180" w:vertAnchor="text" w:horzAnchor="page" w:tblpX="2087" w:tblpY="28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362"/>
        <w:gridCol w:w="774"/>
        <w:gridCol w:w="4659"/>
      </w:tblGrid>
      <w:tr w14:paraId="2845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425" w:type="pct"/>
            <w:shd w:val="clear" w:color="auto" w:fill="F1F1F1"/>
            <w:noWrap w:val="0"/>
            <w:vAlign w:val="center"/>
          </w:tcPr>
          <w:p w14:paraId="2EDCF98A">
            <w:pPr>
              <w:spacing w:line="240" w:lineRule="auto"/>
              <w:ind w:firstLine="0" w:firstLineChars="0"/>
              <w:jc w:val="center"/>
              <w:rPr>
                <w:rFonts w:ascii="宋体" w:hAnsi="宋体" w:eastAsia="宋体" w:cs="仿宋"/>
                <w:b/>
                <w:bCs/>
                <w:sz w:val="24"/>
              </w:rPr>
            </w:pPr>
            <w:r>
              <w:rPr>
                <w:rFonts w:hint="eastAsia" w:ascii="宋体" w:hAnsi="宋体" w:eastAsia="宋体" w:cs="仿宋"/>
                <w:b/>
                <w:bCs/>
                <w:sz w:val="24"/>
              </w:rPr>
              <w:t>序号</w:t>
            </w:r>
          </w:p>
        </w:tc>
        <w:tc>
          <w:tcPr>
            <w:tcW w:w="1386" w:type="pct"/>
            <w:shd w:val="clear" w:color="auto" w:fill="F1F1F1"/>
            <w:noWrap w:val="0"/>
            <w:vAlign w:val="center"/>
          </w:tcPr>
          <w:p w14:paraId="5B7F5F92">
            <w:pPr>
              <w:spacing w:line="240" w:lineRule="auto"/>
              <w:ind w:firstLine="0" w:firstLineChars="0"/>
              <w:jc w:val="center"/>
              <w:rPr>
                <w:rFonts w:ascii="宋体" w:hAnsi="宋体" w:eastAsia="宋体" w:cs="仿宋"/>
                <w:b/>
                <w:bCs/>
                <w:sz w:val="24"/>
              </w:rPr>
            </w:pPr>
            <w:r>
              <w:rPr>
                <w:rFonts w:hint="eastAsia" w:ascii="宋体" w:hAnsi="宋体" w:eastAsia="宋体" w:cs="仿宋"/>
                <w:b/>
                <w:bCs/>
                <w:sz w:val="24"/>
              </w:rPr>
              <w:t>采购内容</w:t>
            </w:r>
          </w:p>
        </w:tc>
        <w:tc>
          <w:tcPr>
            <w:tcW w:w="454" w:type="pct"/>
            <w:shd w:val="clear" w:color="auto" w:fill="F1F1F1"/>
            <w:noWrap w:val="0"/>
            <w:vAlign w:val="center"/>
          </w:tcPr>
          <w:p w14:paraId="50E1E547">
            <w:pPr>
              <w:spacing w:line="240" w:lineRule="auto"/>
              <w:ind w:firstLine="0" w:firstLineChars="0"/>
              <w:jc w:val="center"/>
              <w:rPr>
                <w:rFonts w:ascii="宋体" w:hAnsi="宋体" w:eastAsia="宋体" w:cs="仿宋"/>
                <w:b/>
                <w:bCs/>
                <w:sz w:val="24"/>
              </w:rPr>
            </w:pPr>
            <w:r>
              <w:rPr>
                <w:rFonts w:hint="eastAsia" w:ascii="宋体" w:hAnsi="宋体" w:eastAsia="宋体" w:cs="仿宋"/>
                <w:b/>
                <w:bCs/>
                <w:sz w:val="24"/>
              </w:rPr>
              <w:t>数量</w:t>
            </w:r>
          </w:p>
        </w:tc>
        <w:tc>
          <w:tcPr>
            <w:tcW w:w="2733" w:type="pct"/>
            <w:shd w:val="clear" w:color="auto" w:fill="F1F1F1"/>
            <w:noWrap w:val="0"/>
            <w:vAlign w:val="center"/>
          </w:tcPr>
          <w:p w14:paraId="1AA6CD70">
            <w:pPr>
              <w:spacing w:line="240" w:lineRule="auto"/>
              <w:ind w:firstLine="0" w:firstLineChars="0"/>
              <w:jc w:val="center"/>
              <w:rPr>
                <w:rFonts w:ascii="宋体" w:hAnsi="宋体" w:eastAsia="宋体" w:cs="仿宋"/>
                <w:b/>
                <w:bCs/>
                <w:sz w:val="24"/>
              </w:rPr>
            </w:pPr>
            <w:r>
              <w:rPr>
                <w:rFonts w:hint="eastAsia" w:ascii="宋体" w:hAnsi="宋体" w:eastAsia="宋体" w:cs="仿宋"/>
                <w:b/>
                <w:bCs/>
                <w:sz w:val="24"/>
              </w:rPr>
              <w:t>备注</w:t>
            </w:r>
          </w:p>
        </w:tc>
      </w:tr>
      <w:tr w14:paraId="065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25" w:type="pct"/>
            <w:noWrap w:val="0"/>
            <w:vAlign w:val="center"/>
          </w:tcPr>
          <w:p w14:paraId="6163F893">
            <w:pPr>
              <w:spacing w:line="240" w:lineRule="auto"/>
              <w:ind w:firstLine="0" w:firstLineChars="0"/>
              <w:jc w:val="center"/>
              <w:rPr>
                <w:rFonts w:ascii="宋体" w:hAnsi="宋体" w:eastAsia="宋体" w:cs="仿宋"/>
                <w:sz w:val="24"/>
              </w:rPr>
            </w:pPr>
            <w:r>
              <w:rPr>
                <w:rFonts w:hint="eastAsia" w:ascii="宋体" w:hAnsi="宋体" w:eastAsia="宋体" w:cs="仿宋"/>
                <w:sz w:val="24"/>
              </w:rPr>
              <w:t>1</w:t>
            </w:r>
          </w:p>
        </w:tc>
        <w:tc>
          <w:tcPr>
            <w:tcW w:w="2362" w:type="dxa"/>
            <w:noWrap w:val="0"/>
            <w:vAlign w:val="center"/>
          </w:tcPr>
          <w:p w14:paraId="55E48468">
            <w:pPr>
              <w:keepNext w:val="0"/>
              <w:keepLines w:val="0"/>
              <w:widowControl/>
              <w:suppressLineNumbers w:val="0"/>
              <w:ind w:left="0" w:leftChars="0" w:firstLine="0" w:firstLineChars="0"/>
              <w:jc w:val="center"/>
              <w:textAlignment w:val="center"/>
              <w:rPr>
                <w:rFonts w:ascii="宋体" w:hAnsi="宋体" w:eastAsia="宋体" w:cs="仿宋"/>
                <w:sz w:val="24"/>
              </w:rPr>
            </w:pPr>
            <w:r>
              <w:rPr>
                <w:rFonts w:hint="eastAsia" w:ascii="宋体" w:hAnsi="宋体" w:eastAsia="宋体" w:cs="宋体"/>
                <w:b w:val="0"/>
                <w:bCs w:val="0"/>
                <w:i w:val="0"/>
                <w:iCs w:val="0"/>
                <w:color w:val="000000"/>
                <w:kern w:val="0"/>
                <w:sz w:val="24"/>
                <w:szCs w:val="24"/>
                <w:u w:val="none"/>
                <w:lang w:val="en-US" w:eastAsia="zh-CN" w:bidi="ar"/>
              </w:rPr>
              <w:t>场景应用</w:t>
            </w:r>
          </w:p>
        </w:tc>
        <w:tc>
          <w:tcPr>
            <w:tcW w:w="454" w:type="pct"/>
            <w:noWrap w:val="0"/>
            <w:vAlign w:val="center"/>
          </w:tcPr>
          <w:p w14:paraId="6DECEB73">
            <w:pPr>
              <w:spacing w:line="240" w:lineRule="auto"/>
              <w:ind w:firstLine="0" w:firstLineChars="0"/>
              <w:jc w:val="center"/>
              <w:rPr>
                <w:rFonts w:ascii="宋体" w:hAnsi="宋体" w:eastAsia="宋体" w:cs="仿宋"/>
                <w:sz w:val="24"/>
              </w:rPr>
            </w:pPr>
            <w:r>
              <w:rPr>
                <w:rFonts w:hint="eastAsia" w:ascii="宋体" w:hAnsi="宋体" w:eastAsia="宋体" w:cs="仿宋"/>
                <w:sz w:val="24"/>
              </w:rPr>
              <w:t>1项</w:t>
            </w:r>
          </w:p>
        </w:tc>
        <w:tc>
          <w:tcPr>
            <w:tcW w:w="2733" w:type="pct"/>
            <w:noWrap w:val="0"/>
            <w:vAlign w:val="center"/>
          </w:tcPr>
          <w:p w14:paraId="02810E95">
            <w:pPr>
              <w:spacing w:line="240" w:lineRule="auto"/>
              <w:ind w:firstLine="0" w:firstLineChars="0"/>
              <w:jc w:val="left"/>
              <w:rPr>
                <w:rFonts w:ascii="宋体" w:hAnsi="宋体" w:eastAsia="宋体" w:cs="仿宋"/>
                <w:sz w:val="24"/>
              </w:rPr>
            </w:pPr>
            <w:r>
              <w:rPr>
                <w:rFonts w:hint="eastAsia" w:ascii="宋体" w:hAnsi="宋体" w:eastAsia="宋体" w:cs="仿宋"/>
                <w:sz w:val="24"/>
                <w:lang w:val="en-US" w:eastAsia="zh-CN"/>
              </w:rPr>
              <w:t>微信公众号、</w:t>
            </w:r>
            <w:r>
              <w:rPr>
                <w:rFonts w:hint="eastAsia" w:ascii="宋体" w:hAnsi="宋体" w:cs="仿宋"/>
                <w:sz w:val="24"/>
                <w:lang w:val="en-US" w:eastAsia="zh-CN"/>
              </w:rPr>
              <w:t>微信小程序、</w:t>
            </w:r>
            <w:r>
              <w:rPr>
                <w:rFonts w:hint="eastAsia" w:ascii="宋体" w:hAnsi="宋体" w:eastAsia="宋体" w:cs="仿宋"/>
                <w:sz w:val="24"/>
                <w:lang w:val="en-US" w:eastAsia="zh-CN"/>
              </w:rPr>
              <w:t>支付宝小程序</w:t>
            </w:r>
          </w:p>
        </w:tc>
      </w:tr>
      <w:tr w14:paraId="0FA5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25" w:type="pct"/>
            <w:noWrap w:val="0"/>
            <w:vAlign w:val="center"/>
          </w:tcPr>
          <w:p w14:paraId="47CBAD2F">
            <w:pPr>
              <w:spacing w:line="240" w:lineRule="auto"/>
              <w:ind w:firstLine="0" w:firstLineChars="0"/>
              <w:jc w:val="center"/>
              <w:rPr>
                <w:rFonts w:ascii="宋体" w:hAnsi="宋体" w:eastAsia="宋体" w:cs="仿宋"/>
                <w:sz w:val="24"/>
              </w:rPr>
            </w:pPr>
            <w:r>
              <w:rPr>
                <w:rFonts w:hint="eastAsia" w:ascii="宋体" w:hAnsi="宋体" w:eastAsia="宋体" w:cs="仿宋"/>
                <w:sz w:val="24"/>
              </w:rPr>
              <w:t>2</w:t>
            </w:r>
          </w:p>
        </w:tc>
        <w:tc>
          <w:tcPr>
            <w:tcW w:w="2362" w:type="dxa"/>
            <w:noWrap w:val="0"/>
            <w:vAlign w:val="center"/>
          </w:tcPr>
          <w:p w14:paraId="7840CC56">
            <w:pPr>
              <w:keepNext w:val="0"/>
              <w:keepLines w:val="0"/>
              <w:widowControl/>
              <w:suppressLineNumbers w:val="0"/>
              <w:ind w:left="0" w:leftChars="0" w:firstLine="0" w:firstLineChars="0"/>
              <w:jc w:val="center"/>
              <w:textAlignment w:val="center"/>
              <w:rPr>
                <w:rFonts w:ascii="宋体" w:hAnsi="宋体" w:eastAsia="宋体" w:cs="仿宋"/>
                <w:sz w:val="24"/>
              </w:rPr>
            </w:pPr>
            <w:r>
              <w:rPr>
                <w:rFonts w:hint="eastAsia" w:ascii="宋体" w:hAnsi="宋体" w:eastAsia="宋体" w:cs="宋体"/>
                <w:b w:val="0"/>
                <w:bCs w:val="0"/>
                <w:i w:val="0"/>
                <w:iCs w:val="0"/>
                <w:color w:val="000000"/>
                <w:kern w:val="0"/>
                <w:sz w:val="24"/>
                <w:szCs w:val="24"/>
                <w:u w:val="none"/>
                <w:lang w:val="en-US" w:eastAsia="zh-CN" w:bidi="ar"/>
              </w:rPr>
              <w:t>平台对接</w:t>
            </w:r>
          </w:p>
        </w:tc>
        <w:tc>
          <w:tcPr>
            <w:tcW w:w="454" w:type="pct"/>
            <w:noWrap w:val="0"/>
            <w:vAlign w:val="center"/>
          </w:tcPr>
          <w:p w14:paraId="4C5502A6">
            <w:pPr>
              <w:spacing w:line="240" w:lineRule="auto"/>
              <w:ind w:firstLine="0" w:firstLineChars="0"/>
              <w:jc w:val="center"/>
              <w:rPr>
                <w:rFonts w:ascii="宋体" w:hAnsi="宋体" w:eastAsia="宋体" w:cs="仿宋"/>
                <w:sz w:val="24"/>
              </w:rPr>
            </w:pPr>
            <w:r>
              <w:rPr>
                <w:rFonts w:hint="eastAsia" w:ascii="宋体" w:hAnsi="宋体" w:eastAsia="宋体" w:cs="仿宋"/>
                <w:sz w:val="24"/>
              </w:rPr>
              <w:t>1项</w:t>
            </w:r>
          </w:p>
        </w:tc>
        <w:tc>
          <w:tcPr>
            <w:tcW w:w="2733" w:type="pct"/>
            <w:noWrap w:val="0"/>
            <w:vAlign w:val="center"/>
          </w:tcPr>
          <w:p w14:paraId="630626E5">
            <w:pPr>
              <w:spacing w:line="240" w:lineRule="auto"/>
              <w:ind w:firstLine="0" w:firstLineChars="0"/>
              <w:jc w:val="left"/>
              <w:rPr>
                <w:rFonts w:ascii="宋体" w:hAnsi="宋体" w:eastAsia="宋体" w:cs="仿宋"/>
                <w:sz w:val="24"/>
              </w:rPr>
            </w:pPr>
            <w:r>
              <w:rPr>
                <w:rFonts w:hint="eastAsia" w:ascii="宋体" w:hAnsi="宋体" w:eastAsia="宋体" w:cs="宋体"/>
                <w:b w:val="0"/>
                <w:bCs w:val="0"/>
                <w:i w:val="0"/>
                <w:iCs w:val="0"/>
                <w:color w:val="000000"/>
                <w:kern w:val="0"/>
                <w:sz w:val="24"/>
                <w:szCs w:val="24"/>
                <w:u w:val="none"/>
                <w:lang w:val="en-US" w:eastAsia="zh-CN" w:bidi="ar"/>
              </w:rPr>
              <w:t>与医保移动支付中心、地方医保（核心医保）进行交互，基于院内</w:t>
            </w:r>
            <w:r>
              <w:rPr>
                <w:rStyle w:val="15"/>
                <w:rFonts w:hint="eastAsia" w:ascii="宋体" w:hAnsi="宋体" w:eastAsia="宋体" w:cs="宋体"/>
                <w:b w:val="0"/>
                <w:bCs w:val="0"/>
                <w:sz w:val="24"/>
                <w:szCs w:val="24"/>
                <w:lang w:val="en-US" w:eastAsia="zh-CN" w:bidi="ar"/>
              </w:rPr>
              <w:t>HIS</w:t>
            </w:r>
            <w:r>
              <w:rPr>
                <w:rStyle w:val="16"/>
                <w:rFonts w:hint="eastAsia" w:ascii="宋体" w:hAnsi="宋体" w:eastAsia="宋体" w:cs="宋体"/>
                <w:b w:val="0"/>
                <w:bCs w:val="0"/>
                <w:sz w:val="24"/>
                <w:szCs w:val="24"/>
                <w:lang w:val="en-US" w:eastAsia="zh-CN" w:bidi="ar"/>
              </w:rPr>
              <w:t>数据与医保移动支付中心交互，连接第三方支付渠道商的数据交互，完成患者线上医保支付的业务流程</w:t>
            </w:r>
          </w:p>
        </w:tc>
      </w:tr>
      <w:tr w14:paraId="32EA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25" w:type="pct"/>
            <w:noWrap w:val="0"/>
            <w:vAlign w:val="center"/>
          </w:tcPr>
          <w:p w14:paraId="7A0D205B">
            <w:pPr>
              <w:spacing w:line="240" w:lineRule="auto"/>
              <w:ind w:firstLine="0" w:firstLineChars="0"/>
              <w:jc w:val="center"/>
              <w:rPr>
                <w:rFonts w:ascii="宋体" w:hAnsi="宋体" w:eastAsia="宋体" w:cs="仿宋"/>
                <w:sz w:val="24"/>
              </w:rPr>
            </w:pPr>
            <w:r>
              <w:rPr>
                <w:rFonts w:hint="eastAsia" w:ascii="宋体" w:hAnsi="宋体" w:eastAsia="宋体" w:cs="仿宋"/>
                <w:sz w:val="24"/>
              </w:rPr>
              <w:t>3</w:t>
            </w:r>
          </w:p>
        </w:tc>
        <w:tc>
          <w:tcPr>
            <w:tcW w:w="1386" w:type="pct"/>
            <w:noWrap w:val="0"/>
            <w:vAlign w:val="center"/>
          </w:tcPr>
          <w:p w14:paraId="5B5B29DF">
            <w:pPr>
              <w:spacing w:line="240" w:lineRule="auto"/>
              <w:ind w:firstLine="0" w:firstLineChars="0"/>
              <w:jc w:val="center"/>
              <w:rPr>
                <w:rFonts w:ascii="宋体" w:hAnsi="宋体" w:eastAsia="宋体" w:cs="仿宋"/>
                <w:sz w:val="24"/>
              </w:rPr>
            </w:pPr>
            <w:r>
              <w:rPr>
                <w:rFonts w:hint="eastAsia" w:ascii="宋体" w:hAnsi="宋体" w:eastAsia="宋体" w:cs="宋体"/>
                <w:b w:val="0"/>
                <w:bCs w:val="0"/>
                <w:i w:val="0"/>
                <w:iCs w:val="0"/>
                <w:color w:val="000000"/>
                <w:kern w:val="0"/>
                <w:sz w:val="24"/>
                <w:szCs w:val="24"/>
                <w:u w:val="none"/>
                <w:lang w:val="en-US" w:eastAsia="zh-CN" w:bidi="ar"/>
              </w:rPr>
              <w:t>医保移动支付场景</w:t>
            </w:r>
          </w:p>
        </w:tc>
        <w:tc>
          <w:tcPr>
            <w:tcW w:w="454" w:type="pct"/>
            <w:noWrap w:val="0"/>
            <w:vAlign w:val="center"/>
          </w:tcPr>
          <w:p w14:paraId="3F8740DF">
            <w:pPr>
              <w:spacing w:line="240" w:lineRule="auto"/>
              <w:ind w:firstLine="0" w:firstLineChars="0"/>
              <w:jc w:val="center"/>
              <w:rPr>
                <w:rFonts w:ascii="宋体" w:hAnsi="宋体" w:eastAsia="宋体" w:cs="仿宋"/>
                <w:sz w:val="24"/>
              </w:rPr>
            </w:pPr>
            <w:r>
              <w:rPr>
                <w:rFonts w:hint="eastAsia" w:ascii="宋体" w:hAnsi="宋体" w:eastAsia="宋体" w:cs="仿宋"/>
                <w:sz w:val="24"/>
              </w:rPr>
              <w:t>1项</w:t>
            </w:r>
          </w:p>
        </w:tc>
        <w:tc>
          <w:tcPr>
            <w:tcW w:w="2733" w:type="pct"/>
            <w:noWrap w:val="0"/>
            <w:vAlign w:val="center"/>
          </w:tcPr>
          <w:p w14:paraId="289000EA">
            <w:pPr>
              <w:spacing w:line="240" w:lineRule="auto"/>
              <w:ind w:firstLine="0" w:firstLineChars="0"/>
              <w:jc w:val="left"/>
              <w:rPr>
                <w:rFonts w:ascii="宋体" w:hAnsi="宋体" w:eastAsia="宋体" w:cs="仿宋"/>
                <w:sz w:val="24"/>
              </w:rPr>
            </w:pPr>
            <w:r>
              <w:rPr>
                <w:rFonts w:hint="eastAsia" w:ascii="宋体" w:hAnsi="宋体" w:eastAsia="宋体" w:cs="宋体"/>
                <w:b w:val="0"/>
                <w:bCs w:val="0"/>
                <w:i w:val="0"/>
                <w:iCs w:val="0"/>
                <w:color w:val="000000"/>
                <w:kern w:val="0"/>
                <w:sz w:val="24"/>
                <w:szCs w:val="24"/>
                <w:u w:val="none"/>
                <w:lang w:val="en-US" w:eastAsia="zh-CN" w:bidi="ar"/>
              </w:rPr>
              <w:t>支持</w:t>
            </w:r>
            <w:r>
              <w:rPr>
                <w:rFonts w:hint="eastAsia" w:ascii="宋体" w:hAnsi="宋体" w:cs="宋体"/>
                <w:b w:val="0"/>
                <w:bCs w:val="0"/>
                <w:i w:val="0"/>
                <w:iCs w:val="0"/>
                <w:color w:val="000000"/>
                <w:kern w:val="0"/>
                <w:sz w:val="24"/>
                <w:szCs w:val="24"/>
                <w:u w:val="none"/>
                <w:lang w:val="en-US" w:eastAsia="zh-CN" w:bidi="ar"/>
              </w:rPr>
              <w:t>用户</w:t>
            </w:r>
            <w:r>
              <w:rPr>
                <w:rFonts w:hint="eastAsia" w:ascii="宋体" w:hAnsi="宋体" w:eastAsia="宋体" w:cs="宋体"/>
                <w:b w:val="0"/>
                <w:bCs w:val="0"/>
                <w:i w:val="0"/>
                <w:iCs w:val="0"/>
                <w:color w:val="000000"/>
                <w:kern w:val="0"/>
                <w:sz w:val="24"/>
                <w:szCs w:val="24"/>
                <w:u w:val="none"/>
                <w:lang w:val="en-US" w:eastAsia="zh-CN" w:bidi="ar"/>
              </w:rPr>
              <w:t>在线完成挂号、处方、检查、检验、处置门诊缴费场景的医保个人账户、</w:t>
            </w:r>
            <w:r>
              <w:rPr>
                <w:rFonts w:hint="eastAsia" w:ascii="宋体" w:hAnsi="宋体" w:eastAsia="宋体" w:cs="宋体"/>
                <w:b w:val="0"/>
                <w:bCs w:val="0"/>
                <w:i w:val="0"/>
                <w:iCs w:val="0"/>
                <w:color w:val="000000"/>
                <w:kern w:val="0"/>
                <w:sz w:val="24"/>
                <w:szCs w:val="24"/>
                <w:u w:val="none"/>
                <w:lang w:val="en-US" w:eastAsia="zh-CN" w:bidi="ar"/>
              </w:rPr>
              <w:t>统筹</w:t>
            </w:r>
            <w:r>
              <w:rPr>
                <w:rFonts w:hint="eastAsia" w:ascii="宋体" w:hAnsi="宋体" w:eastAsia="宋体" w:cs="宋体"/>
                <w:b w:val="0"/>
                <w:bCs w:val="0"/>
                <w:i w:val="0"/>
                <w:iCs w:val="0"/>
                <w:color w:val="000000"/>
                <w:kern w:val="0"/>
                <w:sz w:val="24"/>
                <w:szCs w:val="24"/>
                <w:u w:val="none"/>
                <w:lang w:val="en-US" w:eastAsia="zh-CN" w:bidi="ar"/>
              </w:rPr>
              <w:t>基金和自费部分的混合支付</w:t>
            </w:r>
            <w:r>
              <w:rPr>
                <w:rFonts w:hint="eastAsia" w:ascii="宋体" w:hAnsi="宋体" w:eastAsia="宋体" w:cs="仿宋"/>
                <w:sz w:val="24"/>
              </w:rPr>
              <w:t>。</w:t>
            </w:r>
          </w:p>
        </w:tc>
      </w:tr>
      <w:tr w14:paraId="5B57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25" w:type="pct"/>
            <w:noWrap w:val="0"/>
            <w:vAlign w:val="center"/>
          </w:tcPr>
          <w:p w14:paraId="7B96D6F3">
            <w:pPr>
              <w:spacing w:line="240" w:lineRule="auto"/>
              <w:ind w:firstLine="0" w:firstLineChars="0"/>
              <w:jc w:val="center"/>
              <w:rPr>
                <w:rFonts w:hint="eastAsia" w:ascii="宋体" w:hAnsi="宋体" w:eastAsia="宋体" w:cs="仿宋"/>
                <w:sz w:val="24"/>
                <w:lang w:eastAsia="zh-CN"/>
              </w:rPr>
            </w:pPr>
            <w:r>
              <w:rPr>
                <w:rFonts w:hint="eastAsia" w:ascii="宋体" w:hAnsi="宋体" w:cs="仿宋"/>
                <w:sz w:val="24"/>
                <w:lang w:eastAsia="zh-CN"/>
              </w:rPr>
              <w:t>４</w:t>
            </w:r>
          </w:p>
        </w:tc>
        <w:tc>
          <w:tcPr>
            <w:tcW w:w="2362" w:type="dxa"/>
            <w:noWrap w:val="0"/>
            <w:vAlign w:val="center"/>
          </w:tcPr>
          <w:p w14:paraId="2A0AE93F">
            <w:pPr>
              <w:keepNext w:val="0"/>
              <w:keepLines w:val="0"/>
              <w:widowControl/>
              <w:suppressLineNumbers w:val="0"/>
              <w:ind w:left="0" w:leftChars="0" w:firstLine="0" w:firstLineChars="0"/>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医保支付对账</w:t>
            </w:r>
          </w:p>
        </w:tc>
        <w:tc>
          <w:tcPr>
            <w:tcW w:w="774" w:type="dxa"/>
            <w:noWrap w:val="0"/>
            <w:vAlign w:val="center"/>
          </w:tcPr>
          <w:p w14:paraId="43283686">
            <w:pPr>
              <w:keepNext w:val="0"/>
              <w:keepLines w:val="0"/>
              <w:widowControl/>
              <w:suppressLineNumbers w:val="0"/>
              <w:spacing w:line="360" w:lineRule="auto"/>
              <w:ind w:left="0" w:leftChars="0" w:firstLine="0" w:firstLineChars="0"/>
              <w:jc w:val="center"/>
              <w:textAlignment w:val="center"/>
              <w:rPr>
                <w:rFonts w:hint="default" w:ascii="宋体" w:hAnsi="宋体" w:eastAsia="宋体" w:cs="仿宋"/>
                <w:sz w:val="24"/>
                <w:lang w:val="en-US" w:eastAsia="zh-CN"/>
              </w:rPr>
            </w:pPr>
            <w:r>
              <w:rPr>
                <w:rFonts w:hint="eastAsia" w:ascii="宋体" w:hAnsi="宋体" w:eastAsia="宋体" w:cs="仿宋"/>
                <w:sz w:val="24"/>
              </w:rPr>
              <w:t>1项</w:t>
            </w:r>
          </w:p>
        </w:tc>
        <w:tc>
          <w:tcPr>
            <w:tcW w:w="4659" w:type="dxa"/>
            <w:noWrap w:val="0"/>
            <w:vAlign w:val="center"/>
          </w:tcPr>
          <w:p w14:paraId="5C617314">
            <w:pPr>
              <w:keepNext w:val="0"/>
              <w:keepLines w:val="0"/>
              <w:widowControl/>
              <w:suppressLineNumbers w:val="0"/>
              <w:ind w:left="0" w:leftChars="0" w:firstLine="0" w:firstLineChars="0"/>
              <w:jc w:val="both"/>
              <w:textAlignment w:val="center"/>
              <w:rPr>
                <w:rFonts w:hint="eastAsia" w:ascii="宋体" w:hAnsi="宋体" w:eastAsia="宋体" w:cs="仿宋"/>
                <w:sz w:val="24"/>
              </w:rPr>
            </w:pPr>
            <w:r>
              <w:rPr>
                <w:rFonts w:hint="eastAsia" w:ascii="宋体" w:hAnsi="宋体" w:eastAsia="宋体" w:cs="宋体"/>
                <w:b w:val="0"/>
                <w:bCs w:val="0"/>
                <w:i w:val="0"/>
                <w:iCs w:val="0"/>
                <w:color w:val="000000"/>
                <w:kern w:val="0"/>
                <w:sz w:val="24"/>
                <w:szCs w:val="24"/>
                <w:u w:val="none"/>
                <w:lang w:val="en-US" w:eastAsia="zh-CN" w:bidi="ar"/>
              </w:rPr>
              <w:t>支持医保支付对账</w:t>
            </w:r>
            <w:r>
              <w:rPr>
                <w:rFonts w:hint="eastAsia" w:ascii="宋体" w:hAnsi="宋体" w:cs="宋体"/>
                <w:b w:val="0"/>
                <w:bCs w:val="0"/>
                <w:i w:val="0"/>
                <w:iCs w:val="0"/>
                <w:color w:val="000000"/>
                <w:kern w:val="0"/>
                <w:sz w:val="24"/>
                <w:szCs w:val="24"/>
                <w:u w:val="none"/>
                <w:lang w:val="en-US" w:eastAsia="zh-CN" w:bidi="ar"/>
              </w:rPr>
              <w:t>。</w:t>
            </w:r>
          </w:p>
        </w:tc>
      </w:tr>
    </w:tbl>
    <w:p w14:paraId="418B5E8F">
      <w:pPr>
        <w:pStyle w:val="2"/>
        <w:bidi w:val="0"/>
        <w:rPr>
          <w:rFonts w:hint="default"/>
          <w:lang w:val="en-US" w:eastAsia="zh-CN"/>
        </w:rPr>
      </w:pPr>
      <w:r>
        <w:rPr>
          <w:rFonts w:hint="eastAsia"/>
          <w:lang w:val="en-US" w:eastAsia="zh-CN"/>
        </w:rPr>
        <w:t>技术要求</w:t>
      </w:r>
    </w:p>
    <w:p w14:paraId="5955A818">
      <w:pPr>
        <w:bidi w:val="0"/>
        <w:rPr>
          <w:rFonts w:hint="eastAsia"/>
        </w:rPr>
      </w:pPr>
      <w:r>
        <w:rPr>
          <w:rFonts w:hint="eastAsia"/>
          <w:lang w:val="en-US" w:eastAsia="zh-CN"/>
        </w:rPr>
        <w:t>通</w:t>
      </w:r>
      <w:r>
        <w:rPr>
          <w:rFonts w:hint="eastAsia"/>
        </w:rPr>
        <w:t>过系统对接和改造，实现医保患者无需到窗口缴费，直接通过线上完成医保基金和个人自费资金线上支付，患者无需携带医保卡去医保收费窗口进行排队，减少患者的交费等待时间，患者在诊间即可完成医保支付，提高患者的就医体验，增加患者满意度。</w:t>
      </w:r>
    </w:p>
    <w:p w14:paraId="4ACDE8C6">
      <w:pPr>
        <w:bidi w:val="0"/>
        <w:rPr>
          <w:rFonts w:hint="default"/>
          <w:lang w:val="en-US" w:eastAsia="zh-CN"/>
        </w:rPr>
      </w:pPr>
      <w:r>
        <w:rPr>
          <w:rFonts w:hint="eastAsia"/>
          <w:lang w:val="en-US" w:eastAsia="zh-CN"/>
        </w:rPr>
        <w:t>具体接口改造要求如下：</w:t>
      </w:r>
    </w:p>
    <w:tbl>
      <w:tblPr>
        <w:tblStyle w:val="13"/>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6287"/>
        <w:gridCol w:w="981"/>
      </w:tblGrid>
      <w:tr w14:paraId="5721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noWrap w:val="0"/>
            <w:vAlign w:val="center"/>
          </w:tcPr>
          <w:p w14:paraId="7B936C5A">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bCs/>
                <w:i w:val="0"/>
                <w:iCs w:val="0"/>
                <w:snapToGrid w:val="0"/>
                <w:color w:val="000000"/>
                <w:kern w:val="0"/>
                <w:sz w:val="24"/>
                <w:szCs w:val="24"/>
                <w:highlight w:val="none"/>
                <w:u w:val="none"/>
                <w:lang w:val="en-US" w:eastAsia="zh-CN" w:bidi="ar"/>
              </w:rPr>
              <w:t>采购内容</w:t>
            </w:r>
          </w:p>
        </w:tc>
        <w:tc>
          <w:tcPr>
            <w:tcW w:w="6287" w:type="dxa"/>
            <w:noWrap w:val="0"/>
            <w:vAlign w:val="center"/>
          </w:tcPr>
          <w:p w14:paraId="39D2F326">
            <w:pPr>
              <w:pStyle w:val="2"/>
              <w:numPr>
                <w:ilvl w:val="0"/>
                <w:numId w:val="0"/>
              </w:numPr>
              <w:bidi w:val="0"/>
              <w:jc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bCs/>
                <w:i w:val="0"/>
                <w:iCs w:val="0"/>
                <w:snapToGrid w:val="0"/>
                <w:color w:val="000000"/>
                <w:kern w:val="0"/>
                <w:sz w:val="24"/>
                <w:szCs w:val="24"/>
                <w:highlight w:val="none"/>
                <w:u w:val="none"/>
                <w:lang w:val="en-US" w:eastAsia="zh-CN" w:bidi="ar"/>
              </w:rPr>
              <w:t>技术参数</w:t>
            </w:r>
          </w:p>
        </w:tc>
        <w:tc>
          <w:tcPr>
            <w:tcW w:w="981" w:type="dxa"/>
            <w:noWrap w:val="0"/>
            <w:vAlign w:val="center"/>
          </w:tcPr>
          <w:p w14:paraId="55AB3E68">
            <w:pPr>
              <w:pStyle w:val="2"/>
              <w:numPr>
                <w:ilvl w:val="0"/>
                <w:numId w:val="0"/>
              </w:numPr>
              <w:bidi w:val="0"/>
              <w:jc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bCs/>
                <w:i w:val="0"/>
                <w:iCs w:val="0"/>
                <w:snapToGrid w:val="0"/>
                <w:color w:val="000000"/>
                <w:kern w:val="0"/>
                <w:sz w:val="24"/>
                <w:szCs w:val="24"/>
                <w:highlight w:val="none"/>
                <w:u w:val="none"/>
                <w:lang w:val="en-US" w:eastAsia="zh-CN" w:bidi="ar"/>
              </w:rPr>
              <w:t>数量</w:t>
            </w:r>
          </w:p>
        </w:tc>
      </w:tr>
      <w:tr w14:paraId="3466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noWrap w:val="0"/>
            <w:vAlign w:val="center"/>
          </w:tcPr>
          <w:p w14:paraId="1F6B335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场景应用</w:t>
            </w:r>
          </w:p>
        </w:tc>
        <w:tc>
          <w:tcPr>
            <w:tcW w:w="6287" w:type="dxa"/>
            <w:noWrap w:val="0"/>
            <w:vAlign w:val="center"/>
          </w:tcPr>
          <w:p w14:paraId="03D048F5">
            <w:pPr>
              <w:spacing w:line="24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微信公众号、微信小程序、支付宝小程序</w:t>
            </w:r>
          </w:p>
        </w:tc>
        <w:tc>
          <w:tcPr>
            <w:tcW w:w="981" w:type="dxa"/>
            <w:noWrap w:val="0"/>
            <w:vAlign w:val="center"/>
          </w:tcPr>
          <w:p w14:paraId="0DAF4A9D">
            <w:pPr>
              <w:spacing w:line="240" w:lineRule="auto"/>
              <w:ind w:firstLine="0" w:firstLineChars="0"/>
              <w:jc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sz w:val="24"/>
                <w:szCs w:val="24"/>
              </w:rPr>
              <w:t>1项</w:t>
            </w:r>
          </w:p>
        </w:tc>
      </w:tr>
      <w:tr w14:paraId="1487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noWrap w:val="0"/>
            <w:vAlign w:val="center"/>
          </w:tcPr>
          <w:p w14:paraId="4D17EC5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平台对接</w:t>
            </w:r>
          </w:p>
        </w:tc>
        <w:tc>
          <w:tcPr>
            <w:tcW w:w="6287" w:type="dxa"/>
            <w:noWrap w:val="0"/>
            <w:vAlign w:val="center"/>
          </w:tcPr>
          <w:p w14:paraId="2CE9B6B8">
            <w:pPr>
              <w:spacing w:line="24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与医保移动支付中心、地方医保（核心医保）进行交互，基于院内</w:t>
            </w:r>
            <w:r>
              <w:rPr>
                <w:rStyle w:val="15"/>
                <w:rFonts w:hint="eastAsia" w:ascii="宋体" w:hAnsi="宋体" w:eastAsia="宋体" w:cs="宋体"/>
                <w:b w:val="0"/>
                <w:bCs w:val="0"/>
                <w:sz w:val="24"/>
                <w:szCs w:val="24"/>
                <w:lang w:val="en-US" w:eastAsia="zh-CN" w:bidi="ar"/>
              </w:rPr>
              <w:t>HIS</w:t>
            </w:r>
            <w:r>
              <w:rPr>
                <w:rStyle w:val="16"/>
                <w:rFonts w:hint="eastAsia" w:ascii="宋体" w:hAnsi="宋体" w:eastAsia="宋体" w:cs="宋体"/>
                <w:b w:val="0"/>
                <w:bCs w:val="0"/>
                <w:sz w:val="24"/>
                <w:szCs w:val="24"/>
                <w:lang w:val="en-US" w:eastAsia="zh-CN" w:bidi="ar"/>
              </w:rPr>
              <w:t>数据与医保移动支付中心交互，连接第三方支付渠道商的数据交互，完成患者线上医保支付的业务流程</w:t>
            </w:r>
          </w:p>
        </w:tc>
        <w:tc>
          <w:tcPr>
            <w:tcW w:w="981" w:type="dxa"/>
            <w:noWrap w:val="0"/>
            <w:vAlign w:val="center"/>
          </w:tcPr>
          <w:p w14:paraId="77188A48">
            <w:pPr>
              <w:spacing w:line="240" w:lineRule="auto"/>
              <w:ind w:firstLine="0" w:firstLineChars="0"/>
              <w:jc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sz w:val="24"/>
                <w:szCs w:val="24"/>
              </w:rPr>
              <w:t>1项</w:t>
            </w:r>
          </w:p>
        </w:tc>
      </w:tr>
      <w:tr w14:paraId="71E8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noWrap w:val="0"/>
            <w:vAlign w:val="center"/>
          </w:tcPr>
          <w:p w14:paraId="19C5F271">
            <w:pPr>
              <w:spacing w:line="240" w:lineRule="auto"/>
              <w:ind w:firstLine="0" w:firstLineChars="0"/>
              <w:jc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医保移动支付场景</w:t>
            </w:r>
          </w:p>
        </w:tc>
        <w:tc>
          <w:tcPr>
            <w:tcW w:w="6287" w:type="dxa"/>
            <w:noWrap w:val="0"/>
            <w:vAlign w:val="center"/>
          </w:tcPr>
          <w:p w14:paraId="0EC323EB">
            <w:pPr>
              <w:spacing w:line="24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支持用户在线完成挂号、处方、检查、检验、处置门诊缴费场景的医保个人账户、</w:t>
            </w:r>
            <w:r>
              <w:rPr>
                <w:rFonts w:hint="eastAsia" w:ascii="宋体" w:hAnsi="宋体" w:eastAsia="宋体" w:cs="宋体"/>
                <w:b w:val="0"/>
                <w:bCs w:val="0"/>
                <w:i w:val="0"/>
                <w:iCs w:val="0"/>
                <w:color w:val="000000"/>
                <w:kern w:val="0"/>
                <w:sz w:val="24"/>
                <w:szCs w:val="24"/>
                <w:u w:val="none"/>
                <w:lang w:val="en-US" w:eastAsia="zh-CN" w:bidi="ar"/>
              </w:rPr>
              <w:t>统筹</w:t>
            </w:r>
            <w:r>
              <w:rPr>
                <w:rFonts w:hint="eastAsia" w:ascii="宋体" w:hAnsi="宋体" w:eastAsia="宋体" w:cs="宋体"/>
                <w:b w:val="0"/>
                <w:bCs w:val="0"/>
                <w:i w:val="0"/>
                <w:iCs w:val="0"/>
                <w:color w:val="000000"/>
                <w:kern w:val="0"/>
                <w:sz w:val="24"/>
                <w:szCs w:val="24"/>
                <w:u w:val="none"/>
                <w:lang w:val="en-US" w:eastAsia="zh-CN" w:bidi="ar"/>
              </w:rPr>
              <w:t>基金和自费部分的混合支付</w:t>
            </w:r>
            <w:r>
              <w:rPr>
                <w:rFonts w:hint="eastAsia" w:ascii="宋体" w:hAnsi="宋体" w:eastAsia="宋体" w:cs="宋体"/>
                <w:sz w:val="24"/>
                <w:szCs w:val="24"/>
              </w:rPr>
              <w:t>。</w:t>
            </w:r>
          </w:p>
        </w:tc>
        <w:tc>
          <w:tcPr>
            <w:tcW w:w="981" w:type="dxa"/>
            <w:noWrap w:val="0"/>
            <w:vAlign w:val="center"/>
          </w:tcPr>
          <w:p w14:paraId="09018294">
            <w:pPr>
              <w:spacing w:line="240" w:lineRule="auto"/>
              <w:ind w:firstLine="0" w:firstLineChars="0"/>
              <w:jc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sz w:val="24"/>
                <w:szCs w:val="24"/>
              </w:rPr>
              <w:t>1项</w:t>
            </w:r>
          </w:p>
        </w:tc>
      </w:tr>
      <w:tr w14:paraId="1438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noWrap w:val="0"/>
            <w:vAlign w:val="center"/>
          </w:tcPr>
          <w:p w14:paraId="61F53E2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医保支付对账</w:t>
            </w:r>
          </w:p>
        </w:tc>
        <w:tc>
          <w:tcPr>
            <w:tcW w:w="6287" w:type="dxa"/>
            <w:noWrap w:val="0"/>
            <w:vAlign w:val="center"/>
          </w:tcPr>
          <w:p w14:paraId="582FB9DB">
            <w:pPr>
              <w:keepNext w:val="0"/>
              <w:keepLines w:val="0"/>
              <w:widowControl/>
              <w:suppressLineNumbers w:val="0"/>
              <w:ind w:left="0" w:leftChars="0" w:firstLine="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支持医保支付对账。</w:t>
            </w:r>
          </w:p>
        </w:tc>
        <w:tc>
          <w:tcPr>
            <w:tcW w:w="981" w:type="dxa"/>
            <w:noWrap w:val="0"/>
            <w:vAlign w:val="center"/>
          </w:tcPr>
          <w:p w14:paraId="5BDAC8C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sz w:val="24"/>
                <w:szCs w:val="24"/>
              </w:rPr>
              <w:t>1项</w:t>
            </w:r>
          </w:p>
        </w:tc>
      </w:tr>
    </w:tbl>
    <w:p w14:paraId="218FD584">
      <w:pPr>
        <w:pStyle w:val="2"/>
        <w:bidi w:val="0"/>
        <w:rPr>
          <w:rFonts w:hint="eastAsia"/>
        </w:rPr>
      </w:pPr>
      <w:r>
        <w:rPr>
          <w:rFonts w:hint="eastAsia"/>
        </w:rPr>
        <w:t>项目实施计划</w:t>
      </w:r>
    </w:p>
    <w:p w14:paraId="26E3B732">
      <w:pPr>
        <w:rPr>
          <w:rFonts w:hint="eastAsia"/>
        </w:rPr>
      </w:pPr>
      <w:r>
        <w:rPr>
          <w:rFonts w:hint="eastAsia"/>
          <w:lang w:val="en-US" w:eastAsia="zh-CN"/>
        </w:rPr>
        <w:t>按照医保要求，60日内</w:t>
      </w:r>
      <w:r>
        <w:rPr>
          <w:rFonts w:hint="eastAsia"/>
        </w:rPr>
        <w:t>完成</w:t>
      </w:r>
      <w:r>
        <w:rPr>
          <w:rFonts w:hint="eastAsia"/>
          <w:lang w:val="en-US" w:eastAsia="zh-CN"/>
        </w:rPr>
        <w:t>山西省肿瘤医院医保移动支付系统开发，包括与医保移动支付中心、地方医保（核心医保）进行交互，基于院内HIS数据与医保移动支付中心交互，连接第三方支付渠道商的数据交互，完成患者线上医保支付的业务流程</w:t>
      </w:r>
      <w:r>
        <w:rPr>
          <w:rFonts w:hint="eastAsia"/>
        </w:rPr>
        <w:t>，具备上线条件并顺利上线实施。</w:t>
      </w:r>
    </w:p>
    <w:p w14:paraId="125B7489">
      <w:pPr>
        <w:pStyle w:val="2"/>
        <w:bidi w:val="0"/>
        <w:rPr>
          <w:rFonts w:hint="eastAsia"/>
        </w:rPr>
      </w:pPr>
      <w:r>
        <w:rPr>
          <w:rFonts w:hint="eastAsia"/>
        </w:rPr>
        <w:t>项目实施要求</w:t>
      </w:r>
    </w:p>
    <w:p w14:paraId="444F4A48">
      <w:pPr>
        <w:outlineLvl w:val="2"/>
        <w:rPr>
          <w:rFonts w:hint="eastAsia"/>
        </w:rPr>
      </w:pPr>
      <w:r>
        <w:rPr>
          <w:rFonts w:hint="eastAsia"/>
          <w:lang w:val="en-US" w:eastAsia="zh-CN"/>
        </w:rPr>
        <w:t>1</w:t>
      </w:r>
      <w:r>
        <w:rPr>
          <w:rFonts w:hint="eastAsia"/>
        </w:rPr>
        <w:t>.项目团队要求</w:t>
      </w:r>
    </w:p>
    <w:p w14:paraId="5BEF7064">
      <w:pPr>
        <w:rPr>
          <w:rFonts w:hint="eastAsia"/>
        </w:rPr>
      </w:pPr>
      <w:r>
        <w:rPr>
          <w:rFonts w:hint="eastAsia"/>
        </w:rPr>
        <w:t>为确保项目保质保量、按时有序实施，中标人需组建项目实施团队。</w:t>
      </w:r>
    </w:p>
    <w:p w14:paraId="72B7EE35">
      <w:pPr>
        <w:outlineLvl w:val="2"/>
        <w:rPr>
          <w:rFonts w:hint="eastAsia"/>
        </w:rPr>
      </w:pPr>
      <w:r>
        <w:rPr>
          <w:rFonts w:hint="eastAsia"/>
          <w:lang w:val="en-US" w:eastAsia="zh-CN"/>
        </w:rPr>
        <w:t>2</w:t>
      </w:r>
      <w:r>
        <w:rPr>
          <w:rFonts w:hint="eastAsia"/>
        </w:rPr>
        <w:t>.项目验收要求</w:t>
      </w:r>
    </w:p>
    <w:p w14:paraId="53C5B053">
      <w:pPr>
        <w:rPr>
          <w:rFonts w:hint="eastAsia"/>
        </w:rPr>
      </w:pPr>
      <w:r>
        <w:rPr>
          <w:rFonts w:hint="eastAsia"/>
        </w:rPr>
        <w:t>验收标准：符合招标文件中甲方的业务和技术需求。</w:t>
      </w:r>
    </w:p>
    <w:p w14:paraId="2CB5BDFB">
      <w:pPr>
        <w:pStyle w:val="2"/>
        <w:bidi w:val="0"/>
        <w:rPr>
          <w:rFonts w:hint="eastAsia"/>
        </w:rPr>
      </w:pPr>
      <w:r>
        <w:rPr>
          <w:rFonts w:hint="eastAsia"/>
        </w:rPr>
        <w:t>培训及知识转移要求</w:t>
      </w:r>
    </w:p>
    <w:p w14:paraId="5E3A3AC7">
      <w:pPr>
        <w:outlineLvl w:val="2"/>
        <w:rPr>
          <w:rFonts w:hint="eastAsia"/>
        </w:rPr>
      </w:pPr>
      <w:r>
        <w:rPr>
          <w:rFonts w:hint="eastAsia"/>
        </w:rPr>
        <w:t>（1）配备有经验的培训讲师，做好培训前的相关准备工作，由浅入深逐次展开，并做好每次培训讲解，保障培训效果。</w:t>
      </w:r>
    </w:p>
    <w:p w14:paraId="25C5F031">
      <w:pPr>
        <w:outlineLvl w:val="2"/>
        <w:rPr>
          <w:rFonts w:hint="eastAsia"/>
        </w:rPr>
      </w:pPr>
      <w:r>
        <w:rPr>
          <w:rFonts w:hint="eastAsia"/>
        </w:rPr>
        <w:t>（2）采用现场培训、线上培训等多种形式开展培训工作。</w:t>
      </w:r>
    </w:p>
    <w:p w14:paraId="1377A800">
      <w:pPr>
        <w:outlineLvl w:val="2"/>
        <w:rPr>
          <w:rFonts w:hint="eastAsia"/>
        </w:rPr>
      </w:pPr>
      <w:r>
        <w:rPr>
          <w:rFonts w:hint="eastAsia"/>
        </w:rPr>
        <w:t>（3）培训资料包括系统操作手册、演示 PPT等。</w:t>
      </w:r>
    </w:p>
    <w:p w14:paraId="17DC4B21">
      <w:pPr>
        <w:outlineLvl w:val="2"/>
        <w:rPr>
          <w:rFonts w:hint="eastAsia"/>
        </w:rPr>
      </w:pPr>
      <w:r>
        <w:rPr>
          <w:rFonts w:hint="eastAsia"/>
        </w:rPr>
        <w:t>（4）培训完成后收集用户培训反馈意见，做好问题解答及培训总结。</w:t>
      </w:r>
    </w:p>
    <w:p w14:paraId="45BC594B">
      <w:pPr>
        <w:pStyle w:val="2"/>
        <w:bidi w:val="0"/>
        <w:rPr>
          <w:rFonts w:hint="eastAsia"/>
        </w:rPr>
      </w:pPr>
      <w:r>
        <w:rPr>
          <w:rFonts w:hint="eastAsia"/>
        </w:rPr>
        <w:t>售后服务需求</w:t>
      </w:r>
    </w:p>
    <w:p w14:paraId="14102E6E">
      <w:pPr>
        <w:rPr>
          <w:rFonts w:hint="eastAsia"/>
        </w:rPr>
      </w:pPr>
      <w:r>
        <w:rPr>
          <w:rFonts w:hint="eastAsia"/>
        </w:rPr>
        <w:t>（1）提供7天×24小时的热线电话、微信或邮件支持，为用户提供日常问题解答；</w:t>
      </w:r>
    </w:p>
    <w:p w14:paraId="65878EFF">
      <w:pPr>
        <w:rPr>
          <w:rFonts w:hint="eastAsia"/>
        </w:rPr>
      </w:pPr>
      <w:r>
        <w:rPr>
          <w:rFonts w:hint="eastAsia"/>
        </w:rPr>
        <w:t>（2）在重大节假日、特殊业务保障等类型的运维支持，确保系统的安全稳定运行和业务的正常办理；</w:t>
      </w:r>
    </w:p>
    <w:p w14:paraId="220672E6">
      <w:pPr>
        <w:rPr>
          <w:rFonts w:hint="eastAsia"/>
        </w:rPr>
      </w:pPr>
      <w:r>
        <w:rPr>
          <w:rFonts w:hint="eastAsia"/>
        </w:rPr>
        <w:t>（3）系统需求和问题收集和评估、系统的版本验证和升级、系统异常情况处理、数据异常的及时检查维护、系统检查、故障诊断、分析和排除故障；</w:t>
      </w:r>
    </w:p>
    <w:p w14:paraId="4E9735EA">
      <w:pPr>
        <w:rPr>
          <w:rFonts w:hint="eastAsia"/>
        </w:rPr>
      </w:pPr>
      <w:r>
        <w:rPr>
          <w:rFonts w:hint="eastAsia"/>
        </w:rPr>
        <w:t>（4）提供安全运维服务，对系统问题进行持续跟踪，保障系统安全和稳定运行；</w:t>
      </w:r>
    </w:p>
    <w:p w14:paraId="27F53B03">
      <w:pPr>
        <w:rPr>
          <w:rFonts w:hint="eastAsia"/>
        </w:rPr>
      </w:pPr>
      <w:r>
        <w:rPr>
          <w:rFonts w:hint="eastAsia"/>
        </w:rPr>
        <w:t>（</w:t>
      </w:r>
      <w:r>
        <w:rPr>
          <w:rFonts w:hint="eastAsia"/>
          <w:lang w:eastAsia="zh-CN"/>
        </w:rPr>
        <w:t>５</w:t>
      </w:r>
      <w:r>
        <w:rPr>
          <w:rFonts w:hint="eastAsia"/>
        </w:rPr>
        <w:t>）制定完善应急预案，并配合用户完成应急演练相关工作，保障系统在突发情况下支撑业务正常处理；</w:t>
      </w:r>
    </w:p>
    <w:p w14:paraId="19C9A865">
      <w:pPr>
        <w:rPr>
          <w:rFonts w:hint="eastAsia"/>
        </w:rPr>
      </w:pPr>
    </w:p>
    <w:p w14:paraId="09D6A159">
      <w:pPr>
        <w:bidi w:val="0"/>
        <w:rPr>
          <w:rFonts w:hint="default"/>
          <w:lang w:val="en-US" w:eastAsia="zh-CN"/>
        </w:rPr>
      </w:pPr>
    </w:p>
    <w:p w14:paraId="6941292E"/>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776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53678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253678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11033"/>
    <w:multiLevelType w:val="multilevel"/>
    <w:tmpl w:val="E6D11033"/>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C1606"/>
    <w:rsid w:val="0F155431"/>
    <w:rsid w:val="1EC27FFB"/>
    <w:rsid w:val="20124FB2"/>
    <w:rsid w:val="2CE55F57"/>
    <w:rsid w:val="3A9A329B"/>
    <w:rsid w:val="47B468EA"/>
    <w:rsid w:val="51840987"/>
    <w:rsid w:val="5630195F"/>
    <w:rsid w:val="7F302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48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0" w:firstLine="0" w:firstLineChars="0"/>
      <w:outlineLvl w:val="0"/>
    </w:pPr>
    <w:rPr>
      <w:rFonts w:ascii="Times New Roman" w:hAnsi="Times New Roman" w:eastAsia="宋体"/>
      <w:b/>
      <w:kern w:val="44"/>
      <w:sz w:val="28"/>
    </w:rPr>
  </w:style>
  <w:style w:type="paragraph" w:styleId="3">
    <w:name w:val="heading 2"/>
    <w:basedOn w:val="1"/>
    <w:next w:val="1"/>
    <w:unhideWhenUsed/>
    <w:qFormat/>
    <w:uiPriority w:val="0"/>
    <w:pPr>
      <w:keepNext/>
      <w:keepLines/>
      <w:numPr>
        <w:ilvl w:val="1"/>
        <w:numId w:val="1"/>
      </w:numPr>
      <w:spacing w:before="120" w:beforeLines="0" w:beforeAutospacing="0" w:after="120" w:afterLines="0" w:afterAutospacing="0" w:line="360" w:lineRule="auto"/>
      <w:ind w:left="0" w:firstLine="0" w:firstLineChars="0"/>
      <w:outlineLvl w:val="1"/>
    </w:pPr>
    <w:rPr>
      <w:rFonts w:ascii="Arial" w:hAnsi="Arial" w:eastAsia="宋体" w:cs="Times New Roman"/>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0" w:firstLine="400" w:firstLineChars="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b/>
      <w:sz w:val="28"/>
    </w:rPr>
  </w:style>
  <w:style w:type="paragraph" w:styleId="7">
    <w:name w:val="heading 6"/>
    <w:basedOn w:val="1"/>
    <w:next w:val="1"/>
    <w:unhideWhenUsed/>
    <w:qFormat/>
    <w:uiPriority w:val="0"/>
    <w:pPr>
      <w:keepNext/>
      <w:keepLines/>
      <w:numPr>
        <w:ilvl w:val="5"/>
        <w:numId w:val="1"/>
      </w:numPr>
      <w:spacing w:before="120" w:beforeLines="0" w:beforeAutospacing="0" w:after="120" w:afterLines="0" w:afterAutospacing="0" w:line="360" w:lineRule="auto"/>
      <w:ind w:left="0" w:firstLine="402" w:firstLineChars="0"/>
      <w:outlineLvl w:val="5"/>
    </w:pPr>
    <w:rPr>
      <w:rFonts w:ascii="Arial" w:hAnsi="Arial" w:eastAsia="宋体" w:cs="Times New Roman"/>
      <w:b/>
      <w:sz w:val="30"/>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41"/>
    <w:basedOn w:val="14"/>
    <w:uiPriority w:val="0"/>
    <w:rPr>
      <w:rFonts w:ascii="Calibri" w:hAnsi="Calibri" w:cs="Calibri"/>
      <w:color w:val="000000"/>
      <w:sz w:val="28"/>
      <w:szCs w:val="28"/>
      <w:u w:val="none"/>
    </w:rPr>
  </w:style>
  <w:style w:type="character" w:customStyle="1" w:styleId="16">
    <w:name w:val="font31"/>
    <w:basedOn w:val="14"/>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888</Words>
  <Characters>908</Characters>
  <Lines>0</Lines>
  <Paragraphs>0</Paragraphs>
  <TotalTime>8</TotalTime>
  <ScaleCrop>false</ScaleCrop>
  <LinksUpToDate>false</LinksUpToDate>
  <CharactersWithSpaces>908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2023-07-25T00:45:00Z</dcterms:created>
  <dc:creator>博览群书</dc:creator>
  <cp:lastModifiedBy>大厨师</cp:lastModifiedBy>
  <dcterms:modified xsi:type="dcterms:W3CDTF">2025-09-28T10:20:03Z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D5A678DA146B400386498198CDED42CD_13</vt:lpwstr>
  </property>
  <property fmtid="{D5CDD505-2E9C-101B-9397-08002B2CF9AE}" pid="4" name="KSOTemplateDocerSaveRecord">
    <vt:lpwstr>eyJoZGlkIjoiYzQ1MTNkZWQ5OThlNjgwODI0ZjJkN2RlNDBkY2JmYTciLCJ1c2VySWQiOiIyODYzMTQxMjEifQ==</vt:lpwstr>
  </property>
</Properties>
</file>