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898EE">
      <w:pPr>
        <w:rPr>
          <w:sz w:val="32"/>
          <w:szCs w:val="32"/>
        </w:rPr>
      </w:pPr>
    </w:p>
    <w:p w14:paraId="4101FAE9">
      <w:pPr>
        <w:pStyle w:val="8"/>
        <w:ind w:firstLine="360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  <w:t>山西省肿瘤医院</w:t>
      </w:r>
    </w:p>
    <w:p w14:paraId="3E61415F">
      <w:pPr>
        <w:pStyle w:val="8"/>
        <w:ind w:firstLine="360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</w:pPr>
    </w:p>
    <w:p w14:paraId="445585DC">
      <w:pPr>
        <w:pStyle w:val="8"/>
        <w:ind w:firstLine="360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</w:rPr>
        <w:t>5G医疗专网+FTTR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  <w:t>项目采购需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  <w:t>求</w:t>
      </w:r>
    </w:p>
    <w:sdt>
      <w:sdtPr>
        <w:rPr>
          <w:rFonts w:hint="eastAsia" w:cs="宋体"/>
          <w:b w:val="0"/>
          <w:sz w:val="28"/>
          <w:szCs w:val="28"/>
        </w:rPr>
        <w:id w:val="1543018161"/>
        <w:placeholder>
          <w:docPart w:val="{4d9d2de0-d934-41d4-b26e-1185f4e7a1e7}"/>
        </w:placeholder>
        <w15:appearance w15:val="hidden"/>
      </w:sdtPr>
      <w:sdtEndPr>
        <w:rPr>
          <w:rFonts w:hint="eastAsia" w:cs="宋体"/>
          <w:b w:val="0"/>
          <w:sz w:val="28"/>
          <w:szCs w:val="28"/>
        </w:rPr>
      </w:sdtEndPr>
      <w:sdtContent>
        <w:p w14:paraId="4B2326EA">
          <w:pPr>
            <w:pStyle w:val="19"/>
            <w:spacing w:before="156" w:beforeLines="50" w:after="156" w:afterLines="50" w:line="360" w:lineRule="auto"/>
            <w:ind w:left="240" w:right="240" w:firstLine="560"/>
            <w:rPr>
              <w:rFonts w:cs="宋体"/>
              <w:b w:val="0"/>
              <w:sz w:val="28"/>
              <w:szCs w:val="28"/>
            </w:rPr>
          </w:pPr>
        </w:p>
        <w:p w14:paraId="2ADFD074">
          <w:pPr>
            <w:pStyle w:val="19"/>
            <w:spacing w:before="156" w:beforeLines="50" w:after="156" w:afterLines="50" w:line="360" w:lineRule="auto"/>
            <w:ind w:left="240" w:right="240" w:firstLine="560"/>
            <w:rPr>
              <w:rFonts w:cs="宋体"/>
              <w:b w:val="0"/>
              <w:sz w:val="28"/>
              <w:szCs w:val="28"/>
            </w:rPr>
          </w:pPr>
        </w:p>
        <w:p w14:paraId="3180AFA9">
          <w:pPr>
            <w:pStyle w:val="19"/>
            <w:spacing w:before="156" w:beforeLines="50" w:after="156" w:afterLines="50" w:line="360" w:lineRule="auto"/>
            <w:ind w:left="240" w:right="240" w:firstLine="560"/>
            <w:rPr>
              <w:rFonts w:cs="宋体"/>
              <w:b w:val="0"/>
              <w:sz w:val="28"/>
              <w:szCs w:val="28"/>
            </w:rPr>
          </w:pPr>
        </w:p>
        <w:p w14:paraId="51D0AFEE">
          <w:pPr>
            <w:pStyle w:val="19"/>
            <w:spacing w:before="156" w:beforeLines="50" w:after="156" w:afterLines="50" w:line="360" w:lineRule="auto"/>
            <w:ind w:left="0" w:leftChars="0" w:right="240" w:firstLine="0" w:firstLineChars="0"/>
            <w:jc w:val="both"/>
            <w:rPr>
              <w:rFonts w:cs="宋体"/>
              <w:b w:val="0"/>
              <w:sz w:val="28"/>
              <w:szCs w:val="28"/>
            </w:rPr>
          </w:pPr>
        </w:p>
        <w:p w14:paraId="3F22C12C">
          <w:pPr>
            <w:pStyle w:val="19"/>
            <w:spacing w:before="156" w:beforeLines="50" w:after="156" w:afterLines="50" w:line="360" w:lineRule="auto"/>
            <w:ind w:left="240" w:right="240" w:firstLine="560"/>
            <w:rPr>
              <w:rFonts w:cs="宋体"/>
              <w:b w:val="0"/>
              <w:sz w:val="28"/>
              <w:szCs w:val="28"/>
            </w:rPr>
          </w:pPr>
        </w:p>
        <w:p w14:paraId="0BBA3921">
          <w:pPr>
            <w:pStyle w:val="19"/>
            <w:spacing w:before="156" w:beforeLines="50" w:after="156" w:afterLines="50" w:line="360" w:lineRule="auto"/>
            <w:ind w:right="240" w:firstLine="0" w:firstLineChars="0"/>
            <w:rPr>
              <w:rFonts w:cs="宋体"/>
              <w:b w:val="0"/>
              <w:sz w:val="28"/>
              <w:szCs w:val="28"/>
            </w:rPr>
          </w:pPr>
          <w:sdt>
            <w:sdtPr>
              <w:rPr>
                <w:rFonts w:hint="eastAsia" w:cs="宋体"/>
                <w:sz w:val="28"/>
                <w:szCs w:val="28"/>
              </w:rPr>
              <w:id w:val="1735736072"/>
              <w:placeholder>
                <w:docPart w:val="{b6beff3e-a709-4ccc-8144-35e182c57833}"/>
              </w:placeholder>
              <w15:appearance w15:val="hidden"/>
            </w:sdtPr>
            <w:sdtEndPr>
              <w:rPr>
                <w:rFonts w:hint="eastAsia" w:cs="宋体"/>
                <w:sz w:val="28"/>
                <w:szCs w:val="28"/>
              </w:rPr>
            </w:sdtEndPr>
            <w:sdtContent>
              <w:r>
                <w:rPr>
                  <w:rFonts w:hint="eastAsia" w:cs="宋体"/>
                  <w:sz w:val="28"/>
                  <w:szCs w:val="28"/>
                </w:rPr>
                <w:t>20</w:t>
              </w:r>
            </w:sdtContent>
          </w:sdt>
          <w:sdt>
            <w:sdtPr>
              <w:rPr>
                <w:rFonts w:hint="eastAsia" w:cs="宋体"/>
                <w:sz w:val="28"/>
                <w:szCs w:val="28"/>
              </w:rPr>
              <w:id w:val="-1974210748"/>
              <w:placeholder>
                <w:docPart w:val="{b6beff3e-a709-4ccc-8144-35e182c57833}"/>
              </w:placeholder>
            </w:sdtPr>
            <w:sdtEndPr>
              <w:rPr>
                <w:rFonts w:hint="eastAsia" w:cs="宋体"/>
                <w:sz w:val="28"/>
                <w:szCs w:val="28"/>
              </w:rPr>
            </w:sdtEndPr>
            <w:sdtContent>
              <w:r>
                <w:rPr>
                  <w:rFonts w:hint="eastAsia" w:cs="宋体"/>
                  <w:sz w:val="28"/>
                  <w:szCs w:val="28"/>
                </w:rPr>
                <w:t>2</w:t>
              </w:r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5</w:t>
              </w:r>
            </w:sdtContent>
          </w:sdt>
          <w:sdt>
            <w:sdtPr>
              <w:rPr>
                <w:rFonts w:hint="eastAsia" w:cs="宋体"/>
                <w:sz w:val="28"/>
                <w:szCs w:val="28"/>
              </w:rPr>
              <w:id w:val="-102970670"/>
              <w:placeholder>
                <w:docPart w:val="{b6beff3e-a709-4ccc-8144-35e182c57833}"/>
              </w:placeholder>
              <w15:appearance w15:val="hidden"/>
            </w:sdtPr>
            <w:sdtEndPr>
              <w:rPr>
                <w:rFonts w:hint="eastAsia" w:cs="宋体"/>
                <w:sz w:val="28"/>
                <w:szCs w:val="28"/>
              </w:rPr>
            </w:sdtEndPr>
            <w:sdtContent>
              <w:r>
                <w:rPr>
                  <w:rFonts w:hint="eastAsia" w:cs="宋体"/>
                  <w:sz w:val="28"/>
                  <w:szCs w:val="28"/>
                </w:rPr>
                <w:t>年</w:t>
              </w:r>
            </w:sdtContent>
          </w:sdt>
          <w:sdt>
            <w:sdtPr>
              <w:rPr>
                <w:rFonts w:hint="eastAsia" w:cs="宋体"/>
                <w:sz w:val="28"/>
                <w:szCs w:val="28"/>
              </w:rPr>
              <w:id w:val="1980954252"/>
              <w:placeholder>
                <w:docPart w:val="{b6beff3e-a709-4ccc-8144-35e182c57833}"/>
              </w:placeholder>
            </w:sdtPr>
            <w:sdtEndPr>
              <w:rPr>
                <w:rFonts w:hint="eastAsia" w:cs="宋体"/>
                <w:sz w:val="28"/>
                <w:szCs w:val="28"/>
              </w:rPr>
            </w:sdtEndPr>
            <w:sdtContent/>
          </w:sdt>
          <w:sdt>
            <w:sdtPr>
              <w:rPr>
                <w:rFonts w:hint="eastAsia" w:cs="宋体"/>
                <w:sz w:val="28"/>
                <w:szCs w:val="28"/>
              </w:rPr>
              <w:id w:val="1053513168"/>
              <w:placeholder>
                <w:docPart w:val="{b6beff3e-a709-4ccc-8144-35e182c57833}"/>
              </w:placeholder>
              <w15:appearance w15:val="hidden"/>
            </w:sdtPr>
            <w:sdtEndPr>
              <w:rPr>
                <w:rFonts w:hint="eastAsia" w:cs="宋体"/>
                <w:sz w:val="28"/>
                <w:szCs w:val="28"/>
              </w:rPr>
            </w:sdtEndPr>
            <w:sdtContent>
              <w:r>
                <w:rPr>
                  <w:rFonts w:hint="eastAsia" w:cs="宋体"/>
                  <w:sz w:val="28"/>
                  <w:szCs w:val="28"/>
                  <w:lang w:eastAsia="zh-CN"/>
                </w:rPr>
                <w:t>4</w:t>
              </w:r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月</w:t>
              </w:r>
            </w:sdtContent>
          </w:sdt>
        </w:p>
      </w:sdtContent>
    </w:sdt>
    <w:p w14:paraId="421AB9B3">
      <w:pPr>
        <w:spacing w:before="156" w:beforeLines="50" w:after="156" w:afterLines="50"/>
        <w:ind w:left="240" w:right="240" w:firstLine="562"/>
        <w:jc w:val="center"/>
        <w:rPr>
          <w:rFonts w:ascii="宋体" w:hAnsi="宋体" w:eastAsia="宋体" w:cs="宋体"/>
          <w:b/>
          <w:sz w:val="28"/>
          <w:szCs w:val="28"/>
        </w:rPr>
      </w:pPr>
    </w:p>
    <w:p w14:paraId="621BA249">
      <w:pPr>
        <w:pStyle w:val="20"/>
        <w:spacing w:line="360" w:lineRule="auto"/>
        <w:ind w:right="240"/>
        <w:jc w:val="center"/>
        <w:rPr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3" w:bottom="1440" w:left="1800" w:header="851" w:footer="992" w:gutter="0"/>
          <w:cols w:space="425" w:num="1"/>
          <w:docGrid w:type="lines" w:linePitch="312" w:charSpace="0"/>
        </w:sectPr>
      </w:pPr>
    </w:p>
    <w:p w14:paraId="11C5768C">
      <w:pPr>
        <w:pStyle w:val="20"/>
        <w:spacing w:line="360" w:lineRule="auto"/>
        <w:ind w:right="240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zh-CN"/>
        </w:rPr>
        <w:t>目</w:t>
      </w:r>
      <w:r>
        <w:rPr>
          <w:rFonts w:hint="eastAsia" w:ascii="宋体" w:hAnsi="宋体" w:eastAsia="宋体" w:cs="宋体"/>
          <w:b/>
          <w:bCs/>
          <w:color w:val="000000" w:themeColor="text1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lang w:val="zh-CN"/>
        </w:rPr>
        <w:t>录</w:t>
      </w:r>
    </w:p>
    <w:p w14:paraId="014CEAC5">
      <w:pPr>
        <w:pStyle w:val="9"/>
        <w:tabs>
          <w:tab w:val="right" w:leader="dot" w:pos="8973"/>
          <w:tab w:val="clear" w:pos="1050"/>
          <w:tab w:val="clear" w:pos="8296"/>
        </w:tabs>
        <w:ind w:firstLine="478" w:firstLineChars="171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"_Toc10881"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一. 建设背景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_Toc10881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1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5A7F7AD9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"_Toc22481"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二. 建设指导思想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_Toc22481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6A412666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"_Toc30246"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三. 建设目标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_Toc30246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748B5A1F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"_Toc16455"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四. 建设原则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_Toc16455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16478595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"_Toc27317"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五. 建设依据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_Toc27317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7C6FF8D8">
      <w:pPr>
        <w:pStyle w:val="10"/>
        <w:tabs>
          <w:tab w:val="right" w:leader="dot" w:pos="8973"/>
        </w:tabs>
        <w:ind w:left="48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"_Toc10349"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5.1 网络安全等级保护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_Toc10349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651B110B">
      <w:pPr>
        <w:pStyle w:val="10"/>
        <w:tabs>
          <w:tab w:val="right" w:leader="dot" w:pos="8973"/>
        </w:tabs>
        <w:ind w:left="48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"_Toc29165"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5.2 国家商用密码技术规范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_Toc29165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58317250">
      <w:pPr>
        <w:pStyle w:val="10"/>
        <w:tabs>
          <w:tab w:val="right" w:leader="dot" w:pos="8973"/>
        </w:tabs>
        <w:ind w:left="48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"_Toc8294"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5.3 网络安全政策法规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_Toc8294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6C5E0AA7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"_Toc31553"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六. 建设内容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_Toc31553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4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57FDD2C1">
      <w:pPr>
        <w:pStyle w:val="10"/>
        <w:tabs>
          <w:tab w:val="right" w:leader="dot" w:pos="8973"/>
        </w:tabs>
        <w:ind w:left="48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"_Toc25162"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 医院内网场景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_Toc25162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4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7C244163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"_Toc1813"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6.1.1 5G与WIFI的安全性对比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_Toc1813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5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041E16A7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"_Toc2289"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6.1.2 5G专网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_Toc2289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7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168CF94B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"_Toc30936"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6.1.3 超级SIM</w:t>
      </w:r>
      <w:r>
        <w:rPr>
          <w:rFonts w:hint="eastAsia" w:ascii="宋体" w:hAnsi="宋体" w:eastAsia="宋体" w:cs="宋体"/>
          <w:sz w:val="28"/>
          <w:szCs w:val="32"/>
          <w:lang w:eastAsia="zh-Hans"/>
        </w:rPr>
        <w:t>安全网关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_Toc30936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8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6536B379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"_Toc13854"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6.1.4 建设内容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_Toc13854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18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6B0C99B1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"_Toc20238"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6.1.5 方案优势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_Toc20238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18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3AF8DC12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"_Toc27370"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6.1.6 硬件配置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_Toc27370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19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082D006E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"_Toc6274"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6.1.7 信息网络安全要求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_Toc6274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20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3BE95E25">
      <w:pPr>
        <w:pStyle w:val="5"/>
        <w:tabs>
          <w:tab w:val="right" w:pos="4400"/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"_Toc11425"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6.1.8 第三方接口</w:t>
      </w:r>
      <w:r>
        <w:rPr>
          <w:rFonts w:hint="eastAsia" w:ascii="宋体" w:hAnsi="宋体" w:eastAsia="宋体" w:cs="宋体"/>
          <w:sz w:val="28"/>
          <w:szCs w:val="32"/>
        </w:rPr>
        <w:tab/>
      </w:r>
      <w:r>
        <w:rPr>
          <w:rFonts w:hint="eastAsia" w:ascii="宋体" w:hAnsi="宋体" w:eastAsia="宋体" w:cs="宋体"/>
          <w:sz w:val="28"/>
          <w:szCs w:val="32"/>
        </w:rPr>
        <w:t>（无）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_Toc11425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21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76166463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"_Toc30781"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6.1.9 实施方案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_Toc30781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21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45ADC101">
      <w:pPr>
        <w:pStyle w:val="10"/>
        <w:tabs>
          <w:tab w:val="right" w:leader="dot" w:pos="8973"/>
        </w:tabs>
        <w:ind w:left="48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"_Toc8561"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6.2 医院互联网场景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_Toc8561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25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11810BD7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"_Toc22000"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6.2.1 全光WIFI（FTTR-B）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_Toc22000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26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4A3CF679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"_Toc27540"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6.2.2 FTTR建设方案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_Toc27540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26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314D5A00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"_Toc1778"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6.2.3 实施方案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_Toc1778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27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6A412AE1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"_Toc32486"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6.2.4 方案优势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_Toc32486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28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0C28E6D8">
      <w:pPr>
        <w:pStyle w:val="5"/>
        <w:tabs>
          <w:tab w:val="right" w:leader="dot" w:pos="8973"/>
        </w:tabs>
        <w:ind w:left="96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"_Toc23564"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6.2.5 硬件配置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_Toc23564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28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55E06ADB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"_Toc19458"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七. 参考标准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_Toc19458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29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73208925">
      <w:pPr>
        <w:pStyle w:val="9"/>
        <w:tabs>
          <w:tab w:val="right" w:leader="dot" w:pos="8973"/>
          <w:tab w:val="clear" w:pos="1050"/>
          <w:tab w:val="clear" w:pos="8296"/>
        </w:tabs>
        <w:ind w:firstLine="562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"_Toc8859"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八. 合作模式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_Toc8859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30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0CDA24F3">
      <w:pPr>
        <w:pStyle w:val="10"/>
        <w:tabs>
          <w:tab w:val="right" w:leader="dot" w:pos="8973"/>
        </w:tabs>
        <w:ind w:left="480" w:firstLine="560"/>
        <w:rPr>
          <w:rFonts w:ascii="宋体" w:hAnsi="宋体" w:eastAsia="宋体" w:cs="宋体"/>
          <w:sz w:val="28"/>
          <w:szCs w:val="24"/>
        </w:rPr>
      </w:pPr>
      <w:r>
        <w:fldChar w:fldCharType="begin"/>
      </w:r>
      <w:r>
        <w:instrText xml:space="preserve"> HYPERLINK \l "_Toc13650"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8.1 医院内网场景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_Toc13650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30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293B9A68">
      <w:pPr>
        <w:pStyle w:val="10"/>
        <w:tabs>
          <w:tab w:val="right" w:leader="dot" w:pos="8973"/>
        </w:tabs>
        <w:ind w:left="480" w:firstLine="560"/>
      </w:pPr>
      <w:r>
        <w:fldChar w:fldCharType="begin"/>
      </w:r>
      <w:r>
        <w:instrText xml:space="preserve"> HYPERLINK \l "_Toc23509"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32"/>
        </w:rPr>
        <w:t>8.2 医院互联网场景</w:t>
      </w:r>
      <w:r>
        <w:rPr>
          <w:rFonts w:hint="eastAsia" w:ascii="宋体" w:hAnsi="宋体" w:eastAsia="宋体" w:cs="宋体"/>
          <w:sz w:val="28"/>
          <w:szCs w:val="24"/>
        </w:rPr>
        <w:tab/>
      </w:r>
      <w:r>
        <w:rPr>
          <w:rFonts w:hint="eastAsia" w:ascii="宋体" w:hAnsi="宋体" w:eastAsia="宋体" w:cs="宋体"/>
          <w:sz w:val="28"/>
          <w:szCs w:val="24"/>
        </w:rPr>
        <w:fldChar w:fldCharType="begin"/>
      </w:r>
      <w:r>
        <w:rPr>
          <w:rFonts w:hint="eastAsia" w:ascii="宋体" w:hAnsi="宋体" w:eastAsia="宋体" w:cs="宋体"/>
          <w:sz w:val="28"/>
          <w:szCs w:val="24"/>
        </w:rPr>
        <w:instrText xml:space="preserve"> PAGEREF _Toc23509 \h </w:instrText>
      </w:r>
      <w:r>
        <w:rPr>
          <w:rFonts w:hint="eastAsia" w:ascii="宋体" w:hAnsi="宋体" w:eastAsia="宋体" w:cs="宋体"/>
          <w:sz w:val="28"/>
          <w:szCs w:val="24"/>
        </w:rPr>
        <w:fldChar w:fldCharType="separate"/>
      </w:r>
      <w:r>
        <w:rPr>
          <w:rFonts w:hint="eastAsia" w:ascii="宋体" w:hAnsi="宋体" w:eastAsia="宋体" w:cs="宋体"/>
          <w:sz w:val="28"/>
          <w:szCs w:val="24"/>
        </w:rPr>
        <w:t>30</w:t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4"/>
        </w:rPr>
        <w:fldChar w:fldCharType="end"/>
      </w:r>
    </w:p>
    <w:p w14:paraId="2D38CE73">
      <w:pPr>
        <w:ind w:right="240" w:firstLine="0" w:firstLineChars="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Cs w:val="28"/>
        </w:rPr>
        <w:fldChar w:fldCharType="end"/>
      </w:r>
    </w:p>
    <w:p w14:paraId="116F1E7D">
      <w:pPr>
        <w:ind w:left="240" w:right="240" w:firstLine="560"/>
        <w:rPr>
          <w:rFonts w:ascii="宋体" w:hAnsi="宋体" w:eastAsia="宋体" w:cs="宋体"/>
          <w:bCs/>
          <w:sz w:val="28"/>
          <w:szCs w:val="28"/>
        </w:rPr>
      </w:pPr>
    </w:p>
    <w:p w14:paraId="2DE234F9">
      <w:pPr>
        <w:widowControl/>
        <w:ind w:left="240" w:right="240" w:firstLine="560"/>
        <w:jc w:val="left"/>
        <w:rPr>
          <w:rFonts w:ascii="宋体" w:hAnsi="宋体" w:eastAsia="宋体" w:cs="宋体"/>
          <w:b/>
          <w:bCs/>
          <w:kern w:val="44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25EED60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133" w:bottom="1440" w:left="1800" w:header="851" w:footer="992" w:gutter="0"/>
          <w:cols w:space="425" w:num="1"/>
          <w:docGrid w:type="lines" w:linePitch="312" w:charSpace="0"/>
        </w:sectPr>
      </w:pPr>
      <w:bookmarkStart w:id="0" w:name="_Toc120606796"/>
    </w:p>
    <w:p w14:paraId="005B8E4A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" w:name="_Toc10881"/>
      <w:r>
        <w:rPr>
          <w:rFonts w:hint="eastAsia" w:ascii="宋体" w:hAnsi="宋体" w:eastAsia="宋体" w:cs="宋体"/>
          <w:sz w:val="28"/>
          <w:szCs w:val="28"/>
        </w:rPr>
        <w:t>建设背景</w:t>
      </w:r>
      <w:bookmarkEnd w:id="1"/>
    </w:p>
    <w:p w14:paraId="1AA8733C">
      <w:pPr>
        <w:ind w:right="240"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目前，医院有大量的终端需要通过无线或有线接入到医院的网络。 受技术限制的原因，前些年，医院建设无线网络主要采用AP+AC的方式，存在一次性投资大、施工难度大、覆盖范围有限，信号不稳定、数据漫游难等问题，具体如下：</w:t>
      </w:r>
    </w:p>
    <w:p w14:paraId="02BE8D2A">
      <w:pPr>
        <w:ind w:right="240"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bookmarkStart w:id="21" w:name="_GoBack"/>
      <w:bookmarkEnd w:id="21"/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零星工程实施难度大：二次施工穿墙布线复杂，施工难度大，新增点位都需要破墙施工，施工难度大；</w:t>
      </w:r>
    </w:p>
    <w:p w14:paraId="44A8FA53">
      <w:pPr>
        <w:ind w:right="240"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覆盖范围不足：随着医院业务的不断拓展，对于无线覆盖范围，不断提出要求，受限建设之初AP点位设计的影响，对于零星需求，基本无法满足；</w:t>
      </w:r>
    </w:p>
    <w:p w14:paraId="101DD832">
      <w:pPr>
        <w:ind w:right="240"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单AP接入能力限制：单AP的接入能力有限，随着医院移动业务的不断增减，高峰期对于无线网络需求不断增加，易造成网络拥塞；</w:t>
      </w:r>
    </w:p>
    <w:p w14:paraId="339937F0">
      <w:pPr>
        <w:ind w:right="240"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存在安全风险：WLAN受限于其技术的广播特性，易通过接入侧发起攻击，存在接入的安全风险；</w:t>
      </w:r>
    </w:p>
    <w:p w14:paraId="322ED3A8">
      <w:pPr>
        <w:ind w:right="240"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兼容性差：不同厂家设备不兼容，更换难度大；</w:t>
      </w:r>
    </w:p>
    <w:p w14:paraId="5D9CFB85">
      <w:pPr>
        <w:ind w:right="240" w:firstLine="560"/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通过前期调研，我院的无线网络接入需求，大致可以分为两个接入的场景。一是医院办公终端、仪器设备接入内网的场景。医院人员的电脑、移动工作站、医护终端等设备通过无线方式，安全便捷接入医院内网，进行业务办理。二是住院区域的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FTTR光纤无线Wifi网络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接入场景。患者及家属在住院期间，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手机扫码后可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高速、便捷的接入互联网。</w:t>
      </w:r>
    </w:p>
    <w:p w14:paraId="178B3497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2" w:name="_Toc22481"/>
      <w:r>
        <w:rPr>
          <w:rFonts w:hint="eastAsia" w:ascii="宋体" w:hAnsi="宋体" w:eastAsia="宋体" w:cs="宋体"/>
          <w:sz w:val="28"/>
          <w:szCs w:val="28"/>
        </w:rPr>
        <w:t>建设指导思想</w:t>
      </w:r>
      <w:bookmarkEnd w:id="0"/>
      <w:bookmarkEnd w:id="2"/>
    </w:p>
    <w:p w14:paraId="6DCC7DED"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随着5G技术的不断成熟，依托5G网络，解决医卫行业应用的无线接入，已成医卫行业重点推进的方向，近些年得到了国家卫健委等部门的大力支持。</w:t>
      </w:r>
      <w:r>
        <w:rPr>
          <w:rFonts w:hint="eastAsia" w:ascii="宋体" w:hAnsi="宋体" w:eastAsia="宋体" w:cs="宋体"/>
          <w:sz w:val="28"/>
          <w:szCs w:val="28"/>
        </w:rPr>
        <w:t>本次项目计划基于5G专网与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FTTR光纤无线Wifi网络</w:t>
      </w:r>
      <w:r>
        <w:rPr>
          <w:rFonts w:hint="eastAsia" w:ascii="宋体" w:hAnsi="宋体" w:eastAsia="宋体" w:cs="宋体"/>
          <w:sz w:val="28"/>
          <w:szCs w:val="28"/>
        </w:rPr>
        <w:t>相结合，打造一套先进的无线接入模式。依托5G医疗专网，实现多样医疗设备和终端的内网接入，依托全光无线网络，实现医护人员、住院的患者及家属，互联网接入方案。</w:t>
      </w:r>
    </w:p>
    <w:p w14:paraId="52C0758E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3" w:name="_Toc30246"/>
      <w:bookmarkStart w:id="4" w:name="_Toc120606797"/>
      <w:r>
        <w:rPr>
          <w:rFonts w:hint="eastAsia" w:ascii="宋体" w:hAnsi="宋体" w:eastAsia="宋体" w:cs="宋体"/>
          <w:sz w:val="28"/>
          <w:szCs w:val="28"/>
        </w:rPr>
        <w:t>建设目标</w:t>
      </w:r>
      <w:bookmarkEnd w:id="3"/>
    </w:p>
    <w:p w14:paraId="3ECDA73D">
      <w:pPr>
        <w:pStyle w:val="18"/>
        <w:spacing w:line="360" w:lineRule="auto"/>
        <w:ind w:firstLine="480"/>
        <w:jc w:val="both"/>
        <w:rPr>
          <w:rFonts w:hint="eastAsia" w:ascii="宋体" w:hAnsi="宋体" w:eastAsia="宋体" w:cs="宋体"/>
          <w:color w:val="0C0C0C" w:themeColor="text1" w:themeTint="F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C0C0C" w:themeColor="text1" w:themeTint="F2"/>
          <w:kern w:val="2"/>
          <w:sz w:val="28"/>
          <w:szCs w:val="28"/>
          <w:lang w:val="en-US" w:eastAsia="zh-CN" w:bidi="ar-SA"/>
        </w:rPr>
        <w:t>我院原有AC+AP模式所建设的内网Wifi网络，因受限于AP设备安装密度的问题，很多区域信号较差，影响院区无线设备正常使用（手持PDA设备和医疗手推车设备）；</w:t>
      </w:r>
    </w:p>
    <w:p w14:paraId="1546957F">
      <w:pPr>
        <w:pStyle w:val="18"/>
        <w:spacing w:line="360" w:lineRule="auto"/>
        <w:ind w:firstLine="480"/>
        <w:jc w:val="both"/>
        <w:rPr>
          <w:rFonts w:hint="eastAsia" w:ascii="宋体" w:hAnsi="宋体" w:eastAsia="宋体" w:cs="宋体"/>
          <w:color w:val="0C0C0C" w:themeColor="text1" w:themeTint="F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C0C0C" w:themeColor="text1" w:themeTint="F2"/>
          <w:kern w:val="2"/>
          <w:sz w:val="28"/>
          <w:szCs w:val="28"/>
          <w:lang w:val="en-US" w:eastAsia="zh-CN" w:bidi="ar-SA"/>
        </w:rPr>
        <w:t>同时，因每一楼层的手持PDA等无线设备均分配有单独的VLAN数据，这就导致如果更换到其他楼层将无法正常使用，需要重新划分VLAN数据，给一线科室实际使用带来诸多麻烦。</w:t>
      </w:r>
    </w:p>
    <w:p w14:paraId="577C18DC">
      <w:pPr>
        <w:ind w:right="24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目前，国内例如郑大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附院、中日友好、华西等医院都在进行医院内5G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专网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业务规划和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尝试。</w:t>
      </w:r>
    </w:p>
    <w:p w14:paraId="793C04DF">
      <w:pPr>
        <w:ind w:firstLine="56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医院内网</w:t>
      </w:r>
      <w:r>
        <w:rPr>
          <w:rFonts w:hint="eastAsia" w:ascii="宋体" w:hAnsi="宋体" w:eastAsia="宋体" w:cs="宋体"/>
          <w:sz w:val="28"/>
          <w:szCs w:val="28"/>
        </w:rPr>
        <w:t>场景：基于当前规划建设的5G医疗专网医院的移动医护终端、移动护士工作站、便携式B超、便携式CT等终端设备可以通过院内现有的5G网络实现专网接入，替代目前内网WIFI接入的方式，实现“5G专网即内网WIFI”的作用。</w:t>
      </w:r>
    </w:p>
    <w:p w14:paraId="25EC45BF">
      <w:pPr>
        <w:ind w:firstLine="56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接入互联网</w:t>
      </w:r>
      <w:r>
        <w:rPr>
          <w:rFonts w:hint="eastAsia" w:ascii="宋体" w:hAnsi="宋体" w:eastAsia="宋体" w:cs="宋体"/>
          <w:sz w:val="28"/>
          <w:szCs w:val="28"/>
        </w:rPr>
        <w:t>场景：随着全光宽带入户技术的成熟，患者和家属的手机上网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需求，</w:t>
      </w:r>
      <w:r>
        <w:rPr>
          <w:rFonts w:hint="eastAsia" w:ascii="宋体" w:hAnsi="宋体" w:eastAsia="宋体" w:cs="宋体"/>
          <w:sz w:val="28"/>
          <w:szCs w:val="28"/>
        </w:rPr>
        <w:t>可由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通信运营商</w:t>
      </w:r>
      <w:r>
        <w:rPr>
          <w:rFonts w:hint="eastAsia" w:ascii="宋体" w:hAnsi="宋体" w:eastAsia="宋体" w:cs="宋体"/>
          <w:sz w:val="28"/>
          <w:szCs w:val="28"/>
        </w:rPr>
        <w:t>投资，通过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FTTR光纤无线Wifi网络</w:t>
      </w:r>
      <w:r>
        <w:rPr>
          <w:rFonts w:hint="eastAsia" w:ascii="宋体" w:hAnsi="宋体" w:eastAsia="宋体" w:cs="宋体"/>
          <w:sz w:val="28"/>
          <w:szCs w:val="28"/>
        </w:rPr>
        <w:t>，“患者或家属”按需实现手机无线上网，实现病区的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高速Wifi</w:t>
      </w:r>
      <w:r>
        <w:rPr>
          <w:rFonts w:hint="eastAsia" w:ascii="宋体" w:hAnsi="宋体" w:eastAsia="宋体" w:cs="宋体"/>
          <w:sz w:val="28"/>
          <w:szCs w:val="28"/>
        </w:rPr>
        <w:t>宽带覆盖。</w:t>
      </w:r>
    </w:p>
    <w:p w14:paraId="170D1779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5" w:name="_Toc16455"/>
      <w:r>
        <w:rPr>
          <w:rFonts w:hint="eastAsia" w:ascii="宋体" w:hAnsi="宋体" w:eastAsia="宋体" w:cs="宋体"/>
          <w:sz w:val="28"/>
          <w:szCs w:val="28"/>
        </w:rPr>
        <w:t>建设原则</w:t>
      </w:r>
      <w:bookmarkEnd w:id="4"/>
      <w:bookmarkEnd w:id="5"/>
    </w:p>
    <w:p w14:paraId="5239BB62"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本解决方案</w:t>
      </w:r>
      <w:r>
        <w:rPr>
          <w:rFonts w:hint="eastAsia" w:ascii="宋体" w:hAnsi="宋体" w:eastAsia="宋体" w:cs="宋体"/>
          <w:sz w:val="28"/>
          <w:szCs w:val="28"/>
        </w:rPr>
        <w:t>的设计原则：</w:t>
      </w:r>
    </w:p>
    <w:p w14:paraId="67BFB692">
      <w:pPr>
        <w:ind w:left="240" w:right="240" w:firstLine="480" w:firstLineChars="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安全性：依托5G网络，确保终端接入的安全可控。</w:t>
      </w:r>
    </w:p>
    <w:p w14:paraId="24505CED">
      <w:pPr>
        <w:ind w:left="240" w:right="240" w:firstLine="480" w:firstLineChars="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易用性：网络服务按需使用，无需一次性投资；</w:t>
      </w:r>
    </w:p>
    <w:p w14:paraId="17AD95D7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6" w:name="_Toc120606798"/>
      <w:bookmarkStart w:id="7" w:name="_Toc27317"/>
      <w:r>
        <w:rPr>
          <w:rFonts w:hint="eastAsia" w:ascii="宋体" w:hAnsi="宋体" w:eastAsia="宋体" w:cs="宋体"/>
          <w:sz w:val="28"/>
          <w:szCs w:val="28"/>
        </w:rPr>
        <w:t>建设依据</w:t>
      </w:r>
      <w:bookmarkEnd w:id="6"/>
      <w:bookmarkEnd w:id="7"/>
    </w:p>
    <w:p w14:paraId="4A27C4E8">
      <w:pPr>
        <w:pStyle w:val="3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8" w:name="_Toc10349"/>
      <w:bookmarkStart w:id="9" w:name="_Toc120606799"/>
      <w:r>
        <w:rPr>
          <w:rFonts w:hint="eastAsia" w:ascii="宋体" w:hAnsi="宋体" w:eastAsia="宋体" w:cs="宋体"/>
          <w:sz w:val="28"/>
          <w:szCs w:val="28"/>
        </w:rPr>
        <w:t>网络安全等级保护</w:t>
      </w:r>
      <w:bookmarkEnd w:id="8"/>
      <w:bookmarkEnd w:id="9"/>
    </w:p>
    <w:p w14:paraId="24E038E3">
      <w:pPr>
        <w:pStyle w:val="18"/>
        <w:numPr>
          <w:ilvl w:val="0"/>
          <w:numId w:val="1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《计算机信息系统安全保护等级划分准则》（GB 17859-1999）；</w:t>
      </w:r>
    </w:p>
    <w:p w14:paraId="47D7AFFB">
      <w:pPr>
        <w:pStyle w:val="18"/>
        <w:numPr>
          <w:ilvl w:val="0"/>
          <w:numId w:val="1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《信息安全技术网络安全等级保护基本要求》（GB/T 22239-2019）；</w:t>
      </w:r>
    </w:p>
    <w:p w14:paraId="201941E0">
      <w:pPr>
        <w:pStyle w:val="18"/>
        <w:numPr>
          <w:ilvl w:val="0"/>
          <w:numId w:val="1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《信息安全技术网络安全等级保护测评要求》（GB/T 28448-2019）；</w:t>
      </w:r>
    </w:p>
    <w:p w14:paraId="2A4C1036">
      <w:pPr>
        <w:pStyle w:val="18"/>
        <w:numPr>
          <w:ilvl w:val="0"/>
          <w:numId w:val="1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《信息安全技术网络安全等级保护设计技术要求》（GB/T 25070-2019）。</w:t>
      </w:r>
    </w:p>
    <w:p w14:paraId="4111D3A0">
      <w:pPr>
        <w:pStyle w:val="3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0" w:name="_Toc29165"/>
      <w:bookmarkStart w:id="11" w:name="_Toc120606800"/>
      <w:r>
        <w:rPr>
          <w:rFonts w:hint="eastAsia" w:ascii="宋体" w:hAnsi="宋体" w:eastAsia="宋体" w:cs="宋体"/>
          <w:sz w:val="28"/>
          <w:szCs w:val="28"/>
        </w:rPr>
        <w:t>国家商用密码技术规范</w:t>
      </w:r>
      <w:bookmarkEnd w:id="10"/>
      <w:bookmarkEnd w:id="11"/>
    </w:p>
    <w:p w14:paraId="19487EEC">
      <w:pPr>
        <w:pStyle w:val="18"/>
        <w:numPr>
          <w:ilvl w:val="0"/>
          <w:numId w:val="2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GM/T 0054《国密信息系统密码应用基本要求》；</w:t>
      </w:r>
    </w:p>
    <w:p w14:paraId="13454DB9">
      <w:pPr>
        <w:pStyle w:val="18"/>
        <w:numPr>
          <w:ilvl w:val="0"/>
          <w:numId w:val="2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GM/T 0022-2014《IPSec VPN技术规范》；</w:t>
      </w:r>
    </w:p>
    <w:p w14:paraId="3F81CF6F">
      <w:pPr>
        <w:pStyle w:val="18"/>
        <w:numPr>
          <w:ilvl w:val="0"/>
          <w:numId w:val="2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GM/T 0024-2014《SSLVPN技术规范》。</w:t>
      </w:r>
    </w:p>
    <w:p w14:paraId="6F05ADA2">
      <w:pPr>
        <w:pStyle w:val="3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2" w:name="_Toc120606801"/>
      <w:bookmarkStart w:id="13" w:name="_Toc8294"/>
      <w:r>
        <w:rPr>
          <w:rFonts w:hint="eastAsia" w:ascii="宋体" w:hAnsi="宋体" w:eastAsia="宋体" w:cs="宋体"/>
          <w:sz w:val="28"/>
          <w:szCs w:val="28"/>
        </w:rPr>
        <w:t>网络安全政策法规</w:t>
      </w:r>
      <w:bookmarkEnd w:id="12"/>
      <w:bookmarkEnd w:id="13"/>
    </w:p>
    <w:p w14:paraId="56874BCF">
      <w:pPr>
        <w:pStyle w:val="18"/>
        <w:numPr>
          <w:ilvl w:val="0"/>
          <w:numId w:val="3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《中华人民共和国网络安全法》2017年6月1日起正式施行；</w:t>
      </w:r>
    </w:p>
    <w:p w14:paraId="4141AFE3">
      <w:pPr>
        <w:pStyle w:val="18"/>
        <w:numPr>
          <w:ilvl w:val="0"/>
          <w:numId w:val="3"/>
        </w:numPr>
        <w:ind w:left="660" w:right="24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《中国人民共和国密码法》2020年1月1日起正式施行。</w:t>
      </w:r>
    </w:p>
    <w:p w14:paraId="5B7A6D44"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4" w:name="_Toc31553"/>
      <w:r>
        <w:rPr>
          <w:rFonts w:hint="eastAsia" w:ascii="宋体" w:hAnsi="宋体" w:eastAsia="宋体" w:cs="宋体"/>
          <w:sz w:val="28"/>
          <w:szCs w:val="28"/>
        </w:rPr>
        <w:t>建设内容</w:t>
      </w:r>
      <w:bookmarkEnd w:id="14"/>
      <w:r>
        <w:rPr>
          <w:rFonts w:hint="eastAsia" w:ascii="宋体" w:hAnsi="宋体" w:eastAsia="宋体" w:cs="宋体"/>
          <w:sz w:val="28"/>
          <w:szCs w:val="28"/>
        </w:rPr>
        <w:tab/>
      </w:r>
    </w:p>
    <w:p w14:paraId="2D5677D2">
      <w:pPr>
        <w:pStyle w:val="3"/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5" w:name="_Toc25162"/>
      <w:r>
        <w:rPr>
          <w:rFonts w:hint="eastAsia" w:ascii="宋体" w:hAnsi="宋体" w:eastAsia="宋体" w:cs="宋体"/>
          <w:sz w:val="28"/>
          <w:szCs w:val="28"/>
        </w:rPr>
        <w:t>医院内网场景</w:t>
      </w:r>
      <w:bookmarkEnd w:id="15"/>
    </w:p>
    <w:p w14:paraId="762200C0">
      <w:pPr>
        <w:ind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随着大数据、云计算、5G等新兴信息技术的高速发展，移动终端规模越来越大，业务发展类型和发展态势越来越丰富。传统的网络安全边界逐步模糊化，人员和应用的复杂化增大了内网数据暴露面，黑客攻击手段日益多样化、攻击目的日益商业化、攻击行为日益组织化，为网络安全建设带来了新挑战。安全作为经济发展的基础保障决定了经济发展的速度，网络安全能力对国家经济快速发展具有重要意义。</w:t>
      </w:r>
    </w:p>
    <w:p w14:paraId="7073D1CC">
      <w:pPr>
        <w:ind w:firstLine="560"/>
        <w:rPr>
          <w:rFonts w:ascii="宋体" w:hAnsi="宋体" w:eastAsia="宋体" w:cs="宋体"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本方案主要基于规划建设的5G专网的基础上，通过安全网关为客户提供安全的身份认证和业务访问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的二次认证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能力，确保在5G医疗专网中的落地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实现让正确的人，使用正确的终端，使用正确的权限，访问正确的业务，获得正确的数据，并且确保认证更方便，访问速度快，性能好，支持大并发场景，确保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  <w:lang w:val="en-US" w:eastAsia="zh-CN"/>
        </w:rPr>
        <w:t>5G</w:t>
      </w:r>
      <w:r>
        <w:rPr>
          <w:rFonts w:hint="eastAsia" w:ascii="宋体" w:hAnsi="宋体" w:eastAsia="宋体" w:cs="宋体"/>
          <w:color w:val="0C0C0C" w:themeColor="text1" w:themeTint="F2"/>
          <w:sz w:val="28"/>
          <w:szCs w:val="28"/>
        </w:rPr>
        <w:t>专网服务的高效、稳定、可靠。</w:t>
      </w:r>
    </w:p>
    <w:p w14:paraId="32C28125">
      <w:pPr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5697855" cy="1414145"/>
            <wp:effectExtent l="0" t="0" r="1714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286A3">
      <w:pPr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 xml:space="preserve">专网 </w:t>
      </w:r>
      <w:r>
        <w:rPr>
          <w:rFonts w:ascii="宋体" w:hAnsi="宋体" w:eastAsia="宋体" w:cs="宋体"/>
          <w:sz w:val="21"/>
          <w:szCs w:val="21"/>
        </w:rPr>
        <w:t xml:space="preserve">+ </w:t>
      </w:r>
      <w:r>
        <w:rPr>
          <w:rFonts w:hint="eastAsia" w:ascii="宋体" w:hAnsi="宋体" w:eastAsia="宋体" w:cs="宋体"/>
          <w:sz w:val="21"/>
          <w:szCs w:val="21"/>
        </w:rPr>
        <w:t>安全网关方案示意图</w:t>
      </w:r>
    </w:p>
    <w:p w14:paraId="678572E7"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利用5G技术替换现有的内网WLAN：</w:t>
      </w:r>
    </w:p>
    <w:p w14:paraId="79356EEE"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正式环境用户数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约2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-300</w:t>
      </w:r>
      <w:r>
        <w:rPr>
          <w:rFonts w:hint="eastAsia" w:ascii="宋体" w:hAnsi="宋体" w:eastAsia="宋体" w:cs="宋体"/>
          <w:sz w:val="28"/>
          <w:szCs w:val="28"/>
        </w:rPr>
        <w:t>，先期预测并发量为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00并发。为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支撑完成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5G专网融合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二次认证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安全网关，验证安全网关在</w:t>
      </w:r>
      <w:r>
        <w:rPr>
          <w:rFonts w:hint="eastAsia" w:ascii="宋体" w:hAnsi="宋体" w:eastAsia="宋体" w:cs="宋体"/>
          <w:sz w:val="28"/>
          <w:szCs w:val="28"/>
        </w:rPr>
        <w:t>医院内网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环境中的使用情况，计划按照如下方案进行部署:</w:t>
      </w:r>
    </w:p>
    <w:p w14:paraId="49F2A674">
      <w:pPr>
        <w:ind w:firstLine="0" w:firstLineChars="0"/>
        <w:rPr>
          <w:rFonts w:ascii="宋体" w:hAnsi="宋体" w:eastAsia="宋体" w:cs="宋体"/>
          <w:sz w:val="28"/>
          <w:szCs w:val="28"/>
        </w:rPr>
      </w:pPr>
    </w:p>
    <w:p w14:paraId="51DE694E">
      <w:pPr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5697855" cy="2987040"/>
            <wp:effectExtent l="0" t="0" r="17145" b="3810"/>
            <wp:docPr id="1" name="图片 1" descr="图形用户界面,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图示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6390">
      <w:pPr>
        <w:ind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山西省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肿瘤</w:t>
      </w:r>
      <w:r>
        <w:rPr>
          <w:rFonts w:hint="eastAsia" w:ascii="宋体" w:hAnsi="宋体" w:eastAsia="宋体" w:cs="宋体"/>
          <w:sz w:val="21"/>
          <w:szCs w:val="21"/>
        </w:rPr>
        <w:t>医院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安全网关项目设备部署示意</w:t>
      </w:r>
      <w:r>
        <w:rPr>
          <w:rFonts w:hint="eastAsia" w:ascii="宋体" w:hAnsi="宋体" w:eastAsia="宋体" w:cs="宋体"/>
          <w:sz w:val="21"/>
          <w:szCs w:val="21"/>
        </w:rPr>
        <w:t>图</w:t>
      </w:r>
    </w:p>
    <w:p w14:paraId="7234D70F">
      <w:pPr>
        <w:ind w:firstLine="420"/>
        <w:jc w:val="center"/>
        <w:rPr>
          <w:rFonts w:hint="eastAsia" w:ascii="宋体" w:hAnsi="宋体" w:eastAsia="宋体" w:cs="宋体"/>
          <w:sz w:val="21"/>
          <w:szCs w:val="21"/>
          <w:lang w:eastAsia="zh-Hans"/>
        </w:rPr>
      </w:pPr>
    </w:p>
    <w:p w14:paraId="3E32FF04">
      <w:pPr>
        <w:pStyle w:val="4"/>
        <w:rPr>
          <w:rFonts w:ascii="宋体" w:hAnsi="宋体" w:eastAsia="宋体" w:cs="宋体"/>
          <w:sz w:val="28"/>
          <w:szCs w:val="28"/>
        </w:rPr>
      </w:pPr>
      <w:bookmarkStart w:id="16" w:name="_Toc1813"/>
      <w:bookmarkStart w:id="17" w:name="_Toc22686"/>
      <w:bookmarkStart w:id="18" w:name="_Toc1326624905"/>
      <w:r>
        <w:rPr>
          <w:rFonts w:hint="eastAsia" w:ascii="宋体" w:hAnsi="宋体" w:eastAsia="宋体" w:cs="宋体"/>
          <w:sz w:val="28"/>
          <w:szCs w:val="28"/>
        </w:rPr>
        <w:t>5G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专网</w:t>
      </w:r>
      <w:r>
        <w:rPr>
          <w:rFonts w:hint="eastAsia" w:ascii="宋体" w:hAnsi="宋体" w:eastAsia="宋体" w:cs="宋体"/>
          <w:sz w:val="28"/>
          <w:szCs w:val="28"/>
        </w:rPr>
        <w:t>与WIFI的安全性对比</w:t>
      </w:r>
      <w:bookmarkEnd w:id="16"/>
    </w:p>
    <w:tbl>
      <w:tblPr>
        <w:tblStyle w:val="12"/>
        <w:tblW w:w="9024" w:type="dxa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744"/>
        <w:gridCol w:w="3916"/>
      </w:tblGrid>
      <w:tr w14:paraId="3BBC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E5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对比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A2D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5G (5G及LTE)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2098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WiFi (802.11ax及802.11ac)</w:t>
            </w:r>
          </w:p>
        </w:tc>
      </w:tr>
      <w:tr w14:paraId="6CAC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7AFD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关键规格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258A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速率：10-20Gbps，时延1-10ms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E8DB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速率：9.6Gpbs，时延20-200ms</w:t>
            </w:r>
          </w:p>
        </w:tc>
      </w:tr>
      <w:tr w14:paraId="3406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FF68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CEF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5G支持终端与网络的双向认证，信令和数据都加密，256位秘钥，安全性高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7FDF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WiFi仅支持单向认证，安全性差，加密算法简单，易破解，过去几年安全问题频发</w:t>
            </w:r>
          </w:p>
        </w:tc>
      </w:tr>
      <w:tr w14:paraId="266F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5FDF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频段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5B6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频谱为运营商独有，统一规划，抗干扰能力强，提供更好的速率保障5G的单用户体验更好，有保障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D87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Wifi的频谱是公共的，易被侵入，AP间干扰严重速率和接入用户数没有保证，难以达到大带宽接入，QOS差</w:t>
            </w:r>
          </w:p>
        </w:tc>
      </w:tr>
      <w:tr w14:paraId="25324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C80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移动性 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091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无缝切换，不影响业务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312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没有切换保证机制，经常源AP掉死后在新AP重新连接。</w:t>
            </w:r>
          </w:p>
        </w:tc>
      </w:tr>
      <w:tr w14:paraId="02E7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A69D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2EF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支持CPE（室内及室外），USB上网卡，智能手机，行业用模组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578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支持CPE（室内及室外），智能手机，智能家电WiFi标准</w:t>
            </w:r>
          </w:p>
        </w:tc>
      </w:tr>
      <w:tr w14:paraId="60BBF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96B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部署模式（行业）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191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按需求，按SLA切片部署，端到端保障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EC2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企业自己部署WiFi专网，无法满足高可靠、低时延需求</w:t>
            </w:r>
          </w:p>
        </w:tc>
      </w:tr>
      <w:tr w14:paraId="549E8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493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成本 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8BA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运营商5G全覆盖，适合较大规模部署初期投资规模小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DC6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客户自己部署WiFi，初期成本高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需支付专线租赁费</w:t>
            </w:r>
          </w:p>
        </w:tc>
      </w:tr>
      <w:tr w14:paraId="779D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90A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维护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0DC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运营商负责维护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C94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客户自己维护</w:t>
            </w:r>
          </w:p>
        </w:tc>
      </w:tr>
    </w:tbl>
    <w:p w14:paraId="3BA2693E">
      <w:pPr>
        <w:adjustRightInd w:val="0"/>
        <w:snapToGrid w:val="0"/>
        <w:spacing w:before="156" w:beforeLines="50" w:after="156" w:afterLines="5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上表可以看出5G的安全性与网络覆盖要远优于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我院自建</w:t>
      </w:r>
      <w:r>
        <w:rPr>
          <w:rFonts w:hint="eastAsia" w:ascii="宋体" w:hAnsi="宋体" w:eastAsia="宋体" w:cs="宋体"/>
          <w:sz w:val="28"/>
          <w:szCs w:val="28"/>
        </w:rPr>
        <w:t>WLAN网络。因此，本次方案设计采用5G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专网</w:t>
      </w:r>
      <w:r>
        <w:rPr>
          <w:rFonts w:hint="eastAsia" w:ascii="宋体" w:hAnsi="宋体" w:eastAsia="宋体" w:cs="宋体"/>
          <w:sz w:val="28"/>
          <w:szCs w:val="28"/>
        </w:rPr>
        <w:t>方式访问内网。</w:t>
      </w:r>
      <w:bookmarkEnd w:id="17"/>
      <w:bookmarkEnd w:id="18"/>
      <w:bookmarkStart w:id="19" w:name="_Toc8561"/>
    </w:p>
    <w:p w14:paraId="08656415">
      <w:pPr>
        <w:pStyle w:val="3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医院互联网场景</w:t>
      </w:r>
      <w:bookmarkEnd w:id="19"/>
    </w:p>
    <w:p w14:paraId="5248EF16">
      <w:pPr>
        <w:adjustRightInd w:val="0"/>
        <w:snapToGrid w:val="0"/>
        <w:spacing w:before="156" w:beforeLines="50" w:after="156" w:afterLines="5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随着全光宽带入户技术的成熟，患者和家属在住院区域的手机上网需求可以通过全光宽带高速WIFI实现手机无线上网，实现病区的千兆宽带覆盖。</w:t>
      </w:r>
    </w:p>
    <w:p w14:paraId="59E9E57D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FTTR光纤无线Wifi网络</w:t>
      </w:r>
    </w:p>
    <w:p w14:paraId="558160CB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20" w:name="_Toc27540"/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本次为院内患者及家属提供有偿无线上网服务，将采用全光 WiFi（FTTR，Fiber to The Room）技术路线。相较于传统的 AP+AC 的 WiFi 组网方式，全光 WiFi 具备显著优势：</w:t>
      </w:r>
    </w:p>
    <w:p w14:paraId="1263265C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高带宽与高速率：全光 WiFi 依托光纤传输，拥有超大带宽，能够轻松支持千兆甚至更高的网络速率，可充分满足大量数据传输的需求。</w:t>
      </w:r>
    </w:p>
    <w:p w14:paraId="4A7A8084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信号覆盖广泛且均匀：通过光纤到房间的部署模式，全光 WiFi 能够将信号均匀地覆盖至医院的各个区域，包括病房、诊室、走廊、会议室等，有效消除信号死角。</w:t>
      </w:r>
    </w:p>
    <w:p w14:paraId="12902611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color w:val="222222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default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稳定性和可靠性强：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光纤传输不受电磁干扰，信号传输质量高，衰减极小，能够提供稳定可靠的网络连接，确保网络服务的持续性。</w:t>
      </w:r>
    </w:p>
    <w:p w14:paraId="111B0910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color w:val="222222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default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支持大量设备连接：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全光 WiFi 具备强大的接入能力，可支持大量设备同时在线，有效避免因设备数量过多导致的网络拥堵，保障网络流畅运行。</w:t>
      </w:r>
    </w:p>
    <w:p w14:paraId="0F6627C2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default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安全性高：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全光 WiFi 网络采用多种安全机制，如网络切片、访问控制等，能够为不同的医疗业务和用户群体构建安全可靠的网络环境。</w:t>
      </w:r>
    </w:p>
    <w:p w14:paraId="7E73D847">
      <w:pPr>
        <w:pStyle w:val="11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6、</w:t>
      </w:r>
      <w:r>
        <w:rPr>
          <w:rFonts w:hint="default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易于管理和维护：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全光 WiFi 系统配备智能管理平台，可实现对网络设备的集中管理、远程监控和故障诊断，大幅提升管理和维护效率。</w:t>
      </w:r>
    </w:p>
    <w:p w14:paraId="2FC91C33">
      <w:pPr>
        <w:ind w:left="240" w:right="240" w:firstLine="560"/>
        <w:rPr>
          <w:rFonts w:hint="default" w:ascii="宋体" w:hAnsi="宋体" w:eastAsia="宋体" w:cs="宋体"/>
          <w:color w:val="222222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default" w:ascii="宋体" w:hAnsi="宋体" w:eastAsia="宋体" w:cs="宋体"/>
          <w:b/>
          <w:bCs/>
          <w:color w:val="222222"/>
          <w:kern w:val="2"/>
          <w:sz w:val="24"/>
          <w:szCs w:val="24"/>
          <w:shd w:val="clear" w:color="auto" w:fill="FFFFFF"/>
          <w:lang w:val="en-US" w:eastAsia="zh-CN"/>
        </w:rPr>
        <w:t>可扩展性强：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全光 WiFi 网络具有良好的可扩展性，能够方便地进行升级和扩容，以适应医院未来发展过程中不断增长的网络需求。</w:t>
      </w:r>
      <w:bookmarkEnd w:id="20"/>
    </w:p>
    <w:p w14:paraId="3C627F21">
      <w:pPr>
        <w:pStyle w:val="3"/>
        <w:numPr>
          <w:ilvl w:val="1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7、服务要求</w:t>
      </w:r>
    </w:p>
    <w:p w14:paraId="55F3D0F1">
      <w:pPr>
        <w:ind w:left="240" w:right="240" w:firstLine="56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本次项目采购的无线网络服务提供商需承担以下工作：利用吸顶式 FTTR 设备，对全院无线网络进行整体规划，并重点完成门诊部、住院部、科研楼、行政楼等区域的无线覆盖。</w:t>
      </w:r>
    </w:p>
    <w:p w14:paraId="023B4BE8">
      <w:pPr>
        <w:ind w:left="240" w:right="240" w:firstLine="56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同时，需搭建全光WiFi业务订购平台，方便医护人员、患者及家属按需登录平台订购上网服务。此外，无线网络服务提供商还应负责网络升级、平台更新、信息安全保障以及运营服务等工作。 </w:t>
      </w:r>
    </w:p>
    <w:p w14:paraId="37D1E6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3515" cy="1374775"/>
            <wp:effectExtent l="0" t="0" r="1333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4EA5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8、服务内容</w:t>
      </w:r>
    </w:p>
    <w:p w14:paraId="3C4A5C4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61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1、全院无线网络覆盖：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实现对全院重点区域的全光 WiFi 覆盖，确保各个区域都能稳定接入无线网络。</w:t>
      </w:r>
    </w:p>
    <w:p w14:paraId="1B4EC54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61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2、全光 WiFi 业务订购平台：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搭建订购平台，支持医护人员、患者及家属通过该平台按天订购无线上网服务，服务带宽不小于100M，操作流程应简洁便捷。</w:t>
      </w:r>
    </w:p>
    <w:p w14:paraId="37E242D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61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3、运维管控平台：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定期监测无线网络质量，主动排查并消除组网中存在的隐患。同时，输出全光 WiFi 质量监测报告和组网情况核查报告，确保无线网络稳定运行。</w:t>
      </w:r>
    </w:p>
    <w:p w14:paraId="251D7D0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61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4、信息安全管控平台：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后台具备用户上网行为审计等管理功能，严格满足公安等相关部门的安全管控要求，保障网络信息安全。</w:t>
      </w:r>
    </w:p>
    <w:p w14:paraId="2EA0BCD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61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5、其他性能要求如下：</w:t>
      </w:r>
    </w:p>
    <w:p w14:paraId="307FB62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0" w:firstLineChars="161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1）患者、家属及医护人员订购页面响应时长合格率，要求95%以上。</w:t>
      </w:r>
    </w:p>
    <w:p w14:paraId="48E1804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0" w:firstLineChars="161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2）患者、家属及医护人员业务办理成功率，要求98%以上。</w:t>
      </w:r>
    </w:p>
    <w:p w14:paraId="591EC56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0" w:firstLineChars="161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3）患者、家属及医护人员订购的速率达标率100%。</w:t>
      </w:r>
    </w:p>
    <w:p w14:paraId="5FA7519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0" w:firstLineChars="161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4）无线网络的平均故障响应时长＜1小时。</w:t>
      </w:r>
    </w:p>
    <w:p w14:paraId="5D4ED48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0" w:firstLineChars="161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5）无线网络的平均故障处理时长＜2小时。</w:t>
      </w:r>
    </w:p>
    <w:p w14:paraId="71597953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9、职责与义务</w:t>
      </w:r>
    </w:p>
    <w:p w14:paraId="45149F31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522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1、院方职责：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院方作为管理部门，负责对整个无线网络进行统筹管理。通信运营商需定期向院方汇报无线网络的使用与运行情况。院方有义务配合通信运营商进行宣传推广，以更好地服务患者、家属及医护人员。</w:t>
      </w:r>
    </w:p>
    <w:p w14:paraId="6981A8F6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522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2、无线网络提供商职责：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无线网络提供商需按照院方要求，完成院内的全光 WiFi 建设工作，院方应积极配合相关建设事宜。在运营期间，无线网络提供商负责服务期间院内全光 WiFi 的升级与维护，及时解决可能出现的问题。</w:t>
      </w:r>
    </w:p>
    <w:p w14:paraId="511A6CC5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5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</w:pPr>
    </w:p>
    <w:p w14:paraId="564454C6">
      <w:pP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</w:pPr>
    </w:p>
    <w:p w14:paraId="7DBF7CB6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附录：全光WiFi主要设备参数</w:t>
      </w:r>
    </w:p>
    <w:tbl>
      <w:tblPr>
        <w:tblStyle w:val="1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738"/>
      </w:tblGrid>
      <w:tr w14:paraId="5129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8" w:type="dxa"/>
            <w:gridSpan w:val="2"/>
            <w:vAlign w:val="center"/>
          </w:tcPr>
          <w:p w14:paraId="3C70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FTTR设备要求</w:t>
            </w:r>
          </w:p>
        </w:tc>
      </w:tr>
      <w:tr w14:paraId="3139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7FC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接口类型</w:t>
            </w:r>
          </w:p>
        </w:tc>
        <w:tc>
          <w:tcPr>
            <w:tcW w:w="5738" w:type="dxa"/>
            <w:vAlign w:val="center"/>
          </w:tcPr>
          <w:p w14:paraId="7EB7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接口参数</w:t>
            </w:r>
          </w:p>
        </w:tc>
      </w:tr>
      <w:tr w14:paraId="2011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C78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安装方式</w:t>
            </w:r>
          </w:p>
        </w:tc>
        <w:tc>
          <w:tcPr>
            <w:tcW w:w="5738" w:type="dxa"/>
            <w:vAlign w:val="center"/>
          </w:tcPr>
          <w:p w14:paraId="2EBA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机架安装</w:t>
            </w:r>
          </w:p>
        </w:tc>
      </w:tr>
      <w:tr w14:paraId="0BD8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B1A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上行接口</w:t>
            </w:r>
          </w:p>
        </w:tc>
        <w:tc>
          <w:tcPr>
            <w:tcW w:w="5738" w:type="dxa"/>
            <w:vAlign w:val="center"/>
          </w:tcPr>
          <w:p w14:paraId="5154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接口类型: SC/UPC</w:t>
            </w:r>
          </w:p>
        </w:tc>
      </w:tr>
      <w:tr w14:paraId="7842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A19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下行接口</w:t>
            </w:r>
          </w:p>
        </w:tc>
        <w:tc>
          <w:tcPr>
            <w:tcW w:w="5738" w:type="dxa"/>
            <w:vAlign w:val="center"/>
          </w:tcPr>
          <w:p w14:paraId="46C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接口类型: SC/UPC</w:t>
            </w:r>
          </w:p>
        </w:tc>
      </w:tr>
      <w:tr w14:paraId="3053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E7C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Wi-Fi</w:t>
            </w:r>
          </w:p>
        </w:tc>
        <w:tc>
          <w:tcPr>
            <w:tcW w:w="5738" w:type="dxa"/>
            <w:vAlign w:val="center"/>
          </w:tcPr>
          <w:p w14:paraId="18738E2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IEEE 802.11 ax</w:t>
            </w:r>
          </w:p>
          <w:p w14:paraId="370D858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2×2 MIMO (2.4GHz&amp;5GHz)</w:t>
            </w:r>
          </w:p>
          <w:p w14:paraId="12FE723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 SSID</w:t>
            </w:r>
          </w:p>
          <w:p w14:paraId="5FEFF02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支持WIFI频段2.4GHz&amp;5GHz Wi-Fi 6</w:t>
            </w:r>
          </w:p>
        </w:tc>
      </w:tr>
      <w:tr w14:paraId="190D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8" w:type="dxa"/>
            <w:gridSpan w:val="2"/>
            <w:vAlign w:val="center"/>
          </w:tcPr>
          <w:p w14:paraId="1348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FTTR设备要求</w:t>
            </w:r>
          </w:p>
        </w:tc>
      </w:tr>
      <w:tr w14:paraId="602A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B04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接口类型</w:t>
            </w:r>
          </w:p>
        </w:tc>
        <w:tc>
          <w:tcPr>
            <w:tcW w:w="5738" w:type="dxa"/>
            <w:vAlign w:val="center"/>
          </w:tcPr>
          <w:p w14:paraId="5963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接口参数</w:t>
            </w:r>
          </w:p>
        </w:tc>
      </w:tr>
      <w:tr w14:paraId="13EC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D40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安装方式</w:t>
            </w:r>
          </w:p>
        </w:tc>
        <w:tc>
          <w:tcPr>
            <w:tcW w:w="5738" w:type="dxa"/>
            <w:vAlign w:val="center"/>
          </w:tcPr>
          <w:p w14:paraId="6183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室内吸顶/挂墙安装</w:t>
            </w:r>
          </w:p>
        </w:tc>
      </w:tr>
      <w:tr w14:paraId="1C41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F10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光纤接口</w:t>
            </w:r>
          </w:p>
        </w:tc>
        <w:tc>
          <w:tcPr>
            <w:tcW w:w="5738" w:type="dxa"/>
            <w:vAlign w:val="center"/>
          </w:tcPr>
          <w:p w14:paraId="5EF3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GPON 上行 (接口类型XC/UPC)</w:t>
            </w:r>
          </w:p>
        </w:tc>
      </w:tr>
      <w:tr w14:paraId="630F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840" w:type="dxa"/>
            <w:vAlign w:val="center"/>
          </w:tcPr>
          <w:p w14:paraId="5A68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是否支持漫游</w:t>
            </w:r>
          </w:p>
        </w:tc>
        <w:tc>
          <w:tcPr>
            <w:tcW w:w="5738" w:type="dxa"/>
            <w:vAlign w:val="center"/>
          </w:tcPr>
          <w:p w14:paraId="23C6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 Wi-Fi 无缝漫游</w:t>
            </w:r>
          </w:p>
        </w:tc>
      </w:tr>
      <w:tr w14:paraId="51EF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EE4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70C0"/>
                <w:kern w:val="0"/>
                <w:sz w:val="24"/>
                <w:szCs w:val="24"/>
                <w:lang w:val="en-US" w:eastAsia="zh-CN" w:bidi="ar"/>
              </w:rPr>
              <w:t>Wi-Fi</w:t>
            </w:r>
          </w:p>
        </w:tc>
        <w:tc>
          <w:tcPr>
            <w:tcW w:w="5738" w:type="dxa"/>
            <w:vAlign w:val="center"/>
          </w:tcPr>
          <w:p w14:paraId="32F77CB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IEEE 802.11 ax</w:t>
            </w:r>
          </w:p>
          <w:p w14:paraId="7F85D58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2×2 MIMO (2.4GHz&amp;5GHz)</w:t>
            </w:r>
          </w:p>
          <w:p w14:paraId="21EAF5A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 SSID</w:t>
            </w:r>
          </w:p>
          <w:p w14:paraId="56128E6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支持WIFI频段2.4GHz&amp;5GHz Wi-Fi 6</w:t>
            </w:r>
          </w:p>
        </w:tc>
      </w:tr>
    </w:tbl>
    <w:p w14:paraId="07051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C721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EF76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674D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BC5D">
    <w:pPr>
      <w:pStyle w:val="8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13661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7CA5A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ED9FA"/>
    <w:multiLevelType w:val="singleLevel"/>
    <w:tmpl w:val="E8BED9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5FC3350"/>
    <w:multiLevelType w:val="multilevel"/>
    <w:tmpl w:val="05FC3350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DF24232"/>
    <w:multiLevelType w:val="multilevel"/>
    <w:tmpl w:val="0DF24232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2E7C2F"/>
    <w:multiLevelType w:val="multilevel"/>
    <w:tmpl w:val="172E7C2F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E50231A"/>
    <w:rsid w:val="1780210B"/>
    <w:rsid w:val="196D545F"/>
    <w:rsid w:val="1A432E3B"/>
    <w:rsid w:val="1A825EB1"/>
    <w:rsid w:val="1A892659"/>
    <w:rsid w:val="1D3F5364"/>
    <w:rsid w:val="28676710"/>
    <w:rsid w:val="28ED4B6A"/>
    <w:rsid w:val="2F5B00C9"/>
    <w:rsid w:val="303112DE"/>
    <w:rsid w:val="3196279A"/>
    <w:rsid w:val="372841EB"/>
    <w:rsid w:val="382D7579"/>
    <w:rsid w:val="474D04FA"/>
    <w:rsid w:val="4F082323"/>
    <w:rsid w:val="5245687D"/>
    <w:rsid w:val="5A2601FD"/>
    <w:rsid w:val="5F3076A7"/>
    <w:rsid w:val="5F81158B"/>
    <w:rsid w:val="65D0466A"/>
    <w:rsid w:val="7940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ind w:firstLine="480"/>
    </w:pPr>
    <w:rPr>
      <w:b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封面落款（深信服科技）"/>
    <w:basedOn w:val="1"/>
    <w:qFormat/>
    <w:uiPriority w:val="0"/>
    <w:pPr>
      <w:spacing w:before="163" w:after="163" w:line="240" w:lineRule="auto"/>
      <w:jc w:val="center"/>
    </w:pPr>
    <w:rPr>
      <w:rFonts w:ascii="宋体" w:hAnsi="宋体" w:eastAsia="宋体" w:cs="Times New Roman"/>
      <w:b/>
      <w:sz w:val="32"/>
      <w:szCs w:val="44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5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d9d2de0-d934-41d4-b26e-1185f4e7a1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9d2de0-d934-41d4-b26e-1185f4e7a1e7}"/>
      </w:docPartPr>
      <w:docPartBody>
        <w:p w14:paraId="260FC9FA">
          <w:pPr>
            <w:pStyle w:val="2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b6beff3e-a709-4ccc-8144-35e182c578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beff3e-a709-4ccc-8144-35e182c57833}"/>
      </w:docPartPr>
      <w:docPartBody>
        <w:p w14:paraId="56FC633D">
          <w:pPr>
            <w:pStyle w:val="2"/>
          </w:pPr>
          <w:r>
            <w:rPr>
              <w:rStyle w:val="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9381BE3791F64B6790DE036606D019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4335</Words>
  <Characters>4964</Characters>
  <Lines>10</Lines>
  <Paragraphs>3</Paragraphs>
  <TotalTime>3</TotalTime>
  <ScaleCrop>false</ScaleCrop>
  <LinksUpToDate>false</LinksUpToDate>
  <CharactersWithSpaces>5098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枫</cp:lastModifiedBy>
  <cp:lastPrinted>2023-03-21T08:29:00Z</cp:lastPrinted>
  <dcterms:modified xsi:type="dcterms:W3CDTF">2025-04-27T00:39:51Z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DF5B0FB415E1454896A47D4550B81BE3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